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4854" w14:textId="77777777" w:rsidR="000A2A25" w:rsidRDefault="00BE34FD">
      <w:r>
        <w:rPr>
          <w:b/>
          <w:noProof/>
          <w:lang w:eastAsia="en-GB"/>
        </w:rPr>
        <w:drawing>
          <wp:inline distT="0" distB="0" distL="0" distR="0" wp14:anchorId="35F07FE7" wp14:editId="66679536">
            <wp:extent cx="2247900" cy="457200"/>
            <wp:effectExtent l="0" t="0" r="0" b="0"/>
            <wp:docPr id="22" name="Picture 22" descr="C:\Users\MartaFernandezVarona\Documents\Other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C:\Users\MartaFernandezVarona\Documents\Others\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457200"/>
                    </a:xfrm>
                    <a:prstGeom prst="rect">
                      <a:avLst/>
                    </a:prstGeom>
                    <a:noFill/>
                    <a:ln>
                      <a:noFill/>
                    </a:ln>
                  </pic:spPr>
                </pic:pic>
              </a:graphicData>
            </a:graphic>
          </wp:inline>
        </w:drawing>
      </w:r>
    </w:p>
    <w:p w14:paraId="1028A22C" w14:textId="0AAD77C0" w:rsidR="000A2A25" w:rsidRPr="00BE34FD" w:rsidRDefault="00BE34FD" w:rsidP="00A0587E">
      <w:pPr>
        <w:jc w:val="center"/>
        <w:rPr>
          <w:b/>
          <w:sz w:val="28"/>
          <w:szCs w:val="28"/>
        </w:rPr>
      </w:pPr>
      <w:r w:rsidRPr="00BE34FD">
        <w:rPr>
          <w:b/>
          <w:sz w:val="28"/>
          <w:szCs w:val="28"/>
        </w:rPr>
        <w:t>Gender Pay Gap Report</w:t>
      </w:r>
      <w:r w:rsidR="00F4579D">
        <w:rPr>
          <w:b/>
          <w:sz w:val="28"/>
          <w:szCs w:val="28"/>
        </w:rPr>
        <w:t xml:space="preserve"> </w:t>
      </w:r>
      <w:r w:rsidR="00E46EA0">
        <w:rPr>
          <w:b/>
          <w:sz w:val="28"/>
          <w:szCs w:val="28"/>
        </w:rPr>
        <w:t>201</w:t>
      </w:r>
      <w:r w:rsidR="0046416E">
        <w:rPr>
          <w:b/>
          <w:sz w:val="28"/>
          <w:szCs w:val="28"/>
        </w:rPr>
        <w:t>9</w:t>
      </w:r>
      <w:r w:rsidR="00E46EA0">
        <w:rPr>
          <w:b/>
          <w:sz w:val="28"/>
          <w:szCs w:val="28"/>
        </w:rPr>
        <w:t>/20</w:t>
      </w:r>
      <w:r w:rsidR="0046416E">
        <w:rPr>
          <w:b/>
          <w:sz w:val="28"/>
          <w:szCs w:val="28"/>
        </w:rPr>
        <w:t>20</w:t>
      </w:r>
    </w:p>
    <w:p w14:paraId="01E23BCB" w14:textId="77777777" w:rsidR="00505091" w:rsidRDefault="0063185F" w:rsidP="00BE34FD">
      <w:pPr>
        <w:jc w:val="both"/>
      </w:pPr>
      <w:r>
        <w:t>A</w:t>
      </w:r>
      <w:r w:rsidR="00505091">
        <w:t xml:space="preserve"> full review has been carried out and the finalised figures are </w:t>
      </w:r>
      <w:r>
        <w:t>detailed</w:t>
      </w:r>
      <w:r w:rsidR="00505091">
        <w:t xml:space="preserve"> showing a comparative on last year’s report.</w:t>
      </w:r>
    </w:p>
    <w:p w14:paraId="5F1C8B00" w14:textId="77777777" w:rsidR="00E77E9C" w:rsidRPr="008D7DB2" w:rsidRDefault="00BE34FD" w:rsidP="00BE34FD">
      <w:pPr>
        <w:jc w:val="both"/>
      </w:pPr>
      <w:r>
        <w:t xml:space="preserve">We </w:t>
      </w:r>
      <w:r w:rsidR="00505091">
        <w:t xml:space="preserve">continue to </w:t>
      </w:r>
      <w:r>
        <w:t>be the largest independent trave</w:t>
      </w:r>
      <w:r w:rsidR="00F4579D">
        <w:t xml:space="preserve">l agent in the UK, </w:t>
      </w:r>
      <w:r w:rsidR="00F4579D" w:rsidRPr="00E46EA0">
        <w:t xml:space="preserve">employing </w:t>
      </w:r>
      <w:r w:rsidR="00E46EA0" w:rsidRPr="00E46EA0">
        <w:t>1,346</w:t>
      </w:r>
      <w:r w:rsidRPr="00E46EA0">
        <w:t xml:space="preserve"> employees</w:t>
      </w:r>
      <w:r>
        <w:t xml:space="preserve"> in our </w:t>
      </w:r>
      <w:r w:rsidRPr="008D7DB2">
        <w:t>group</w:t>
      </w:r>
      <w:r w:rsidR="00E46EA0" w:rsidRPr="008D7DB2">
        <w:t xml:space="preserve"> at April 2019</w:t>
      </w:r>
      <w:r w:rsidRPr="008D7DB2">
        <w:t xml:space="preserve">. </w:t>
      </w:r>
    </w:p>
    <w:p w14:paraId="650D57F1" w14:textId="77777777" w:rsidR="00291974" w:rsidRDefault="00E77E9C" w:rsidP="00BE34FD">
      <w:pPr>
        <w:jc w:val="both"/>
      </w:pPr>
      <w:r w:rsidRPr="008D7DB2">
        <w:t xml:space="preserve">Gender equality is key in our commitment to diversity and inclusion. </w:t>
      </w:r>
      <w:r w:rsidR="00977937" w:rsidRPr="008D7DB2">
        <w:t xml:space="preserve">At senior level, </w:t>
      </w:r>
      <w:r w:rsidR="00E46EA0" w:rsidRPr="008D7DB2">
        <w:t xml:space="preserve">we are led by a female Chair and </w:t>
      </w:r>
      <w:r w:rsidR="00392929" w:rsidRPr="008D7DB2">
        <w:t>three</w:t>
      </w:r>
      <w:r w:rsidR="00977937" w:rsidRPr="008D7DB2">
        <w:t xml:space="preserve"> out of f</w:t>
      </w:r>
      <w:r w:rsidR="00E46EA0" w:rsidRPr="008D7DB2">
        <w:t xml:space="preserve">ive Board members are women. </w:t>
      </w:r>
      <w:r w:rsidR="008D7DB2" w:rsidRPr="008D7DB2">
        <w:t>Eighteen out</w:t>
      </w:r>
      <w:r w:rsidR="00977937" w:rsidRPr="008D7DB2">
        <w:t xml:space="preserve"> of twenty-</w:t>
      </w:r>
      <w:r w:rsidR="008D7DB2" w:rsidRPr="008D7DB2">
        <w:t xml:space="preserve">seven </w:t>
      </w:r>
      <w:r w:rsidR="00977937" w:rsidRPr="008D7DB2">
        <w:t>members of our Senior Leaders</w:t>
      </w:r>
      <w:r w:rsidR="002347B3" w:rsidRPr="008D7DB2">
        <w:t>hip</w:t>
      </w:r>
      <w:r w:rsidR="00977937" w:rsidRPr="008D7DB2">
        <w:t xml:space="preserve"> Team are women.</w:t>
      </w:r>
    </w:p>
    <w:p w14:paraId="4BF39A55" w14:textId="77777777" w:rsidR="00BE34FD" w:rsidRPr="00A0172B" w:rsidRDefault="00977937" w:rsidP="00BE34FD">
      <w:pPr>
        <w:jc w:val="both"/>
      </w:pPr>
      <w:r>
        <w:t>We believe</w:t>
      </w:r>
      <w:r w:rsidR="00291974">
        <w:t xml:space="preserve"> that the aim of the “pay gap reporting” is to understand and to overcome the barriers that may prevent all our people from achieving their full potential. </w:t>
      </w:r>
      <w:r w:rsidR="006F60D9">
        <w:t xml:space="preserve"> Understanding our own pay gap information is another milestone on our journey to become a leading inclusive organisation. </w:t>
      </w:r>
      <w:r w:rsidR="00BE34FD">
        <w:t xml:space="preserve">We believe in job opportunities for everybody and we aim to have a diverse workforce in all areas of the </w:t>
      </w:r>
      <w:r w:rsidR="00BE34FD" w:rsidRPr="00A0172B">
        <w:t xml:space="preserve">group. </w:t>
      </w:r>
    </w:p>
    <w:p w14:paraId="5B748A4A" w14:textId="77777777" w:rsidR="009C36D8" w:rsidRDefault="00505091" w:rsidP="00BE34FD">
      <w:pPr>
        <w:jc w:val="both"/>
      </w:pPr>
      <w:r w:rsidRPr="00A0172B">
        <w:t>We continue to work within our obligations for pay reporting to ensure any actions are followed through as a res</w:t>
      </w:r>
      <w:r w:rsidR="009C36D8" w:rsidRPr="00A0172B">
        <w:t xml:space="preserve">ult of any anomalies identified. </w:t>
      </w:r>
    </w:p>
    <w:p w14:paraId="20EA29CD" w14:textId="77777777" w:rsidR="00A0172B" w:rsidRPr="00A0172B" w:rsidRDefault="00A0172B" w:rsidP="00BE34FD">
      <w:pPr>
        <w:jc w:val="both"/>
      </w:pPr>
      <w:r>
        <w:t>Outlined below is an overview of our Gender Pay gap results for the year ended 5 April 2019:</w:t>
      </w:r>
    </w:p>
    <w:p w14:paraId="52526D0C" w14:textId="77777777" w:rsidR="009C36D8" w:rsidRDefault="009C36D8" w:rsidP="00BE34FD">
      <w:pPr>
        <w:jc w:val="both"/>
        <w:rPr>
          <w:highlight w:val="yellow"/>
        </w:rPr>
      </w:pPr>
    </w:p>
    <w:tbl>
      <w:tblPr>
        <w:tblW w:w="7017" w:type="dxa"/>
        <w:tblInd w:w="1063" w:type="dxa"/>
        <w:tblLayout w:type="fixed"/>
        <w:tblLook w:val="04A0" w:firstRow="1" w:lastRow="0" w:firstColumn="1" w:lastColumn="0" w:noHBand="0" w:noVBand="1"/>
      </w:tblPr>
      <w:tblGrid>
        <w:gridCol w:w="2780"/>
        <w:gridCol w:w="2253"/>
        <w:gridCol w:w="1879"/>
        <w:gridCol w:w="105"/>
      </w:tblGrid>
      <w:tr w:rsidR="000A2A25" w:rsidRPr="000A2A25" w14:paraId="6BAB9FAA" w14:textId="77777777" w:rsidTr="00DC3E17">
        <w:trPr>
          <w:gridAfter w:val="1"/>
          <w:wAfter w:w="105" w:type="dxa"/>
          <w:trHeight w:val="300"/>
        </w:trPr>
        <w:tc>
          <w:tcPr>
            <w:tcW w:w="6912" w:type="dxa"/>
            <w:gridSpan w:val="3"/>
            <w:tcBorders>
              <w:top w:val="nil"/>
              <w:left w:val="nil"/>
              <w:bottom w:val="nil"/>
              <w:right w:val="nil"/>
            </w:tcBorders>
            <w:shd w:val="clear" w:color="auto" w:fill="auto"/>
            <w:noWrap/>
            <w:vAlign w:val="bottom"/>
            <w:hideMark/>
          </w:tcPr>
          <w:p w14:paraId="3F2E3B74" w14:textId="77777777" w:rsidR="000A2A25" w:rsidRPr="000A2A25" w:rsidRDefault="000A2A25" w:rsidP="000A2A25">
            <w:pPr>
              <w:spacing w:after="0" w:line="240" w:lineRule="auto"/>
              <w:jc w:val="center"/>
              <w:rPr>
                <w:rFonts w:ascii="Calibri" w:eastAsia="Times New Roman" w:hAnsi="Calibri" w:cs="Calibri"/>
                <w:b/>
                <w:bCs/>
                <w:color w:val="000000"/>
                <w:lang w:eastAsia="en-GB"/>
              </w:rPr>
            </w:pPr>
            <w:r w:rsidRPr="000A2A25">
              <w:rPr>
                <w:rFonts w:ascii="Calibri" w:eastAsia="Times New Roman" w:hAnsi="Calibri" w:cs="Calibri"/>
                <w:b/>
                <w:bCs/>
                <w:color w:val="000000"/>
                <w:lang w:eastAsia="en-GB"/>
              </w:rPr>
              <w:t>Year-on-year changes</w:t>
            </w:r>
          </w:p>
        </w:tc>
      </w:tr>
      <w:tr w:rsidR="00DC3E17" w:rsidRPr="000A2A25" w14:paraId="038D43CB" w14:textId="77777777" w:rsidTr="00DC3E17">
        <w:trPr>
          <w:trHeight w:val="353"/>
        </w:trPr>
        <w:tc>
          <w:tcPr>
            <w:tcW w:w="2780" w:type="dxa"/>
            <w:tcBorders>
              <w:top w:val="nil"/>
              <w:left w:val="nil"/>
              <w:bottom w:val="single" w:sz="4" w:space="0" w:color="auto"/>
              <w:right w:val="nil"/>
            </w:tcBorders>
            <w:shd w:val="clear" w:color="auto" w:fill="auto"/>
            <w:vAlign w:val="bottom"/>
            <w:hideMark/>
          </w:tcPr>
          <w:p w14:paraId="32192463" w14:textId="77777777" w:rsidR="00DC3E17" w:rsidRPr="000A2A25" w:rsidRDefault="00DC3E17" w:rsidP="000A2A25">
            <w:pPr>
              <w:spacing w:after="0" w:line="240" w:lineRule="auto"/>
              <w:rPr>
                <w:rFonts w:ascii="Calibri" w:eastAsia="Times New Roman" w:hAnsi="Calibri" w:cs="Calibri"/>
                <w:b/>
                <w:bCs/>
                <w:color w:val="000000"/>
                <w:lang w:eastAsia="en-GB"/>
              </w:rPr>
            </w:pPr>
            <w:r w:rsidRPr="000A2A25">
              <w:rPr>
                <w:rFonts w:ascii="Calibri" w:eastAsia="Times New Roman" w:hAnsi="Calibri" w:cs="Calibri"/>
                <w:b/>
                <w:bCs/>
                <w:color w:val="000000"/>
                <w:lang w:eastAsia="en-GB"/>
              </w:rPr>
              <w:t> </w:t>
            </w:r>
          </w:p>
        </w:tc>
        <w:tc>
          <w:tcPr>
            <w:tcW w:w="2253" w:type="dxa"/>
            <w:tcBorders>
              <w:top w:val="nil"/>
              <w:left w:val="nil"/>
              <w:bottom w:val="single" w:sz="4" w:space="0" w:color="auto"/>
              <w:right w:val="nil"/>
            </w:tcBorders>
            <w:shd w:val="clear" w:color="auto" w:fill="auto"/>
            <w:vAlign w:val="bottom"/>
            <w:hideMark/>
          </w:tcPr>
          <w:p w14:paraId="0995A589" w14:textId="77777777" w:rsidR="00DC3E17" w:rsidRPr="000A2A25" w:rsidRDefault="00E46EA0" w:rsidP="000A2A2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Hays Travel 2019</w:t>
            </w:r>
          </w:p>
        </w:tc>
        <w:tc>
          <w:tcPr>
            <w:tcW w:w="1984" w:type="dxa"/>
            <w:gridSpan w:val="2"/>
            <w:tcBorders>
              <w:top w:val="nil"/>
              <w:left w:val="nil"/>
              <w:bottom w:val="single" w:sz="4" w:space="0" w:color="auto"/>
              <w:right w:val="nil"/>
            </w:tcBorders>
            <w:shd w:val="clear" w:color="auto" w:fill="auto"/>
            <w:vAlign w:val="bottom"/>
            <w:hideMark/>
          </w:tcPr>
          <w:p w14:paraId="4CFC3BC1" w14:textId="77777777" w:rsidR="00DC3E17" w:rsidRPr="000A2A25" w:rsidRDefault="00E46EA0" w:rsidP="000A2A2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Hays Travel 2018</w:t>
            </w:r>
          </w:p>
        </w:tc>
      </w:tr>
      <w:tr w:rsidR="00DC3E17" w:rsidRPr="000A2A25" w14:paraId="6FD1491C" w14:textId="77777777" w:rsidTr="00DC3E17">
        <w:trPr>
          <w:trHeight w:val="300"/>
        </w:trPr>
        <w:tc>
          <w:tcPr>
            <w:tcW w:w="2780" w:type="dxa"/>
            <w:tcBorders>
              <w:top w:val="nil"/>
              <w:left w:val="nil"/>
              <w:bottom w:val="nil"/>
              <w:right w:val="nil"/>
            </w:tcBorders>
            <w:shd w:val="clear" w:color="auto" w:fill="auto"/>
            <w:noWrap/>
            <w:vAlign w:val="bottom"/>
            <w:hideMark/>
          </w:tcPr>
          <w:p w14:paraId="5D6E6CB4" w14:textId="77777777" w:rsidR="00DC3E17" w:rsidRPr="000A2A25" w:rsidRDefault="00DC3E17" w:rsidP="000A2A25">
            <w:pPr>
              <w:spacing w:after="0" w:line="240" w:lineRule="auto"/>
              <w:rPr>
                <w:rFonts w:ascii="Calibri" w:eastAsia="Times New Roman" w:hAnsi="Calibri" w:cs="Calibri"/>
                <w:color w:val="000000"/>
                <w:lang w:eastAsia="en-GB"/>
              </w:rPr>
            </w:pPr>
            <w:r w:rsidRPr="000A2A25">
              <w:rPr>
                <w:rFonts w:ascii="Calibri" w:eastAsia="Times New Roman" w:hAnsi="Calibri" w:cs="Calibri"/>
                <w:color w:val="000000"/>
                <w:lang w:eastAsia="en-GB"/>
              </w:rPr>
              <w:t>Gender Pay Gap (Mean)</w:t>
            </w:r>
          </w:p>
        </w:tc>
        <w:tc>
          <w:tcPr>
            <w:tcW w:w="2253" w:type="dxa"/>
            <w:tcBorders>
              <w:top w:val="nil"/>
              <w:left w:val="nil"/>
              <w:bottom w:val="nil"/>
              <w:right w:val="nil"/>
            </w:tcBorders>
            <w:shd w:val="clear" w:color="auto" w:fill="auto"/>
            <w:noWrap/>
            <w:vAlign w:val="bottom"/>
            <w:hideMark/>
          </w:tcPr>
          <w:p w14:paraId="704D2ACD" w14:textId="77777777" w:rsidR="00DC3E17" w:rsidRPr="000A2A25" w:rsidRDefault="00E46EA0" w:rsidP="000A2A2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r w:rsidR="00DC3E17" w:rsidRPr="000A2A25">
              <w:rPr>
                <w:rFonts w:ascii="Calibri" w:eastAsia="Times New Roman" w:hAnsi="Calibri" w:cs="Calibri"/>
                <w:color w:val="000000"/>
                <w:lang w:eastAsia="en-GB"/>
              </w:rPr>
              <w:t>%</w:t>
            </w:r>
          </w:p>
        </w:tc>
        <w:tc>
          <w:tcPr>
            <w:tcW w:w="1984" w:type="dxa"/>
            <w:gridSpan w:val="2"/>
            <w:tcBorders>
              <w:top w:val="nil"/>
              <w:left w:val="nil"/>
              <w:bottom w:val="nil"/>
              <w:right w:val="nil"/>
            </w:tcBorders>
            <w:shd w:val="clear" w:color="auto" w:fill="auto"/>
            <w:noWrap/>
            <w:vAlign w:val="bottom"/>
            <w:hideMark/>
          </w:tcPr>
          <w:p w14:paraId="5B6FEC83" w14:textId="77777777" w:rsidR="00DC3E17" w:rsidRPr="000A2A25"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r w:rsidR="00DC3E17" w:rsidRPr="000A2A25">
              <w:rPr>
                <w:rFonts w:ascii="Calibri" w:eastAsia="Times New Roman" w:hAnsi="Calibri" w:cs="Calibri"/>
                <w:color w:val="000000"/>
                <w:lang w:eastAsia="en-GB"/>
              </w:rPr>
              <w:t>%</w:t>
            </w:r>
          </w:p>
        </w:tc>
      </w:tr>
      <w:tr w:rsidR="00DC3E17" w:rsidRPr="000A2A25" w14:paraId="0503305F" w14:textId="77777777" w:rsidTr="00DC3E17">
        <w:trPr>
          <w:trHeight w:val="300"/>
        </w:trPr>
        <w:tc>
          <w:tcPr>
            <w:tcW w:w="2780" w:type="dxa"/>
            <w:tcBorders>
              <w:top w:val="nil"/>
              <w:left w:val="nil"/>
              <w:bottom w:val="nil"/>
              <w:right w:val="nil"/>
            </w:tcBorders>
            <w:shd w:val="clear" w:color="auto" w:fill="auto"/>
            <w:vAlign w:val="bottom"/>
            <w:hideMark/>
          </w:tcPr>
          <w:p w14:paraId="4AEEAA1D" w14:textId="77777777" w:rsidR="00DC3E17" w:rsidRPr="000A2A25" w:rsidRDefault="00DC3E17" w:rsidP="000A2A25">
            <w:pPr>
              <w:spacing w:after="0" w:line="240" w:lineRule="auto"/>
              <w:rPr>
                <w:rFonts w:ascii="Calibri" w:eastAsia="Times New Roman" w:hAnsi="Calibri" w:cs="Calibri"/>
                <w:color w:val="000000"/>
                <w:lang w:eastAsia="en-GB"/>
              </w:rPr>
            </w:pPr>
            <w:r w:rsidRPr="000A2A25">
              <w:rPr>
                <w:rFonts w:ascii="Calibri" w:eastAsia="Times New Roman" w:hAnsi="Calibri" w:cs="Calibri"/>
                <w:color w:val="000000"/>
                <w:lang w:eastAsia="en-GB"/>
              </w:rPr>
              <w:t>Gender Pay Gap (Median)</w:t>
            </w:r>
          </w:p>
        </w:tc>
        <w:tc>
          <w:tcPr>
            <w:tcW w:w="2253" w:type="dxa"/>
            <w:tcBorders>
              <w:top w:val="nil"/>
              <w:left w:val="nil"/>
              <w:bottom w:val="nil"/>
              <w:right w:val="nil"/>
            </w:tcBorders>
            <w:shd w:val="clear" w:color="auto" w:fill="auto"/>
            <w:noWrap/>
            <w:vAlign w:val="bottom"/>
            <w:hideMark/>
          </w:tcPr>
          <w:p w14:paraId="4100E696" w14:textId="77777777" w:rsidR="00DC3E17" w:rsidRPr="000A2A25"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r w:rsidR="00DC3E17" w:rsidRPr="000A2A25">
              <w:rPr>
                <w:rFonts w:ascii="Calibri" w:eastAsia="Times New Roman" w:hAnsi="Calibri" w:cs="Calibri"/>
                <w:color w:val="000000"/>
                <w:lang w:eastAsia="en-GB"/>
              </w:rPr>
              <w:t>%</w:t>
            </w:r>
          </w:p>
        </w:tc>
        <w:tc>
          <w:tcPr>
            <w:tcW w:w="1984" w:type="dxa"/>
            <w:gridSpan w:val="2"/>
            <w:tcBorders>
              <w:top w:val="nil"/>
              <w:left w:val="nil"/>
              <w:bottom w:val="nil"/>
              <w:right w:val="nil"/>
            </w:tcBorders>
            <w:shd w:val="clear" w:color="auto" w:fill="auto"/>
            <w:noWrap/>
            <w:vAlign w:val="bottom"/>
            <w:hideMark/>
          </w:tcPr>
          <w:p w14:paraId="5A9AF057" w14:textId="77777777" w:rsidR="00DC3E17" w:rsidRPr="000A2A25"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r w:rsidR="00DC3E17" w:rsidRPr="000A2A25">
              <w:rPr>
                <w:rFonts w:ascii="Calibri" w:eastAsia="Times New Roman" w:hAnsi="Calibri" w:cs="Calibri"/>
                <w:color w:val="000000"/>
                <w:lang w:eastAsia="en-GB"/>
              </w:rPr>
              <w:t>%</w:t>
            </w:r>
          </w:p>
        </w:tc>
      </w:tr>
      <w:tr w:rsidR="00DC3E17" w:rsidRPr="000A2A25" w14:paraId="4A6EC933" w14:textId="77777777" w:rsidTr="00DC3E17">
        <w:trPr>
          <w:trHeight w:val="300"/>
        </w:trPr>
        <w:tc>
          <w:tcPr>
            <w:tcW w:w="2780" w:type="dxa"/>
            <w:tcBorders>
              <w:top w:val="nil"/>
              <w:left w:val="nil"/>
              <w:bottom w:val="nil"/>
              <w:right w:val="nil"/>
            </w:tcBorders>
            <w:shd w:val="clear" w:color="auto" w:fill="auto"/>
            <w:noWrap/>
            <w:vAlign w:val="bottom"/>
            <w:hideMark/>
          </w:tcPr>
          <w:p w14:paraId="66635C2A" w14:textId="77777777" w:rsidR="00DC3E17" w:rsidRPr="000A2A25" w:rsidRDefault="00DC3E17" w:rsidP="000A2A25">
            <w:pPr>
              <w:spacing w:after="0" w:line="240" w:lineRule="auto"/>
              <w:rPr>
                <w:rFonts w:ascii="Calibri" w:eastAsia="Times New Roman" w:hAnsi="Calibri" w:cs="Calibri"/>
                <w:color w:val="000000"/>
                <w:lang w:eastAsia="en-GB"/>
              </w:rPr>
            </w:pPr>
            <w:r w:rsidRPr="000A2A25">
              <w:rPr>
                <w:rFonts w:ascii="Calibri" w:eastAsia="Times New Roman" w:hAnsi="Calibri" w:cs="Calibri"/>
                <w:color w:val="000000"/>
                <w:lang w:eastAsia="en-GB"/>
              </w:rPr>
              <w:t>Gender Bonus Gap (Mean)</w:t>
            </w:r>
          </w:p>
        </w:tc>
        <w:tc>
          <w:tcPr>
            <w:tcW w:w="2253" w:type="dxa"/>
            <w:tcBorders>
              <w:top w:val="nil"/>
              <w:left w:val="nil"/>
              <w:bottom w:val="nil"/>
              <w:right w:val="nil"/>
            </w:tcBorders>
            <w:shd w:val="clear" w:color="auto" w:fill="auto"/>
            <w:noWrap/>
            <w:vAlign w:val="bottom"/>
            <w:hideMark/>
          </w:tcPr>
          <w:p w14:paraId="0CD3A52E" w14:textId="77777777" w:rsidR="00DC3E17" w:rsidRPr="000A2A25"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00DC3E17" w:rsidRPr="000A2A25">
              <w:rPr>
                <w:rFonts w:ascii="Calibri" w:eastAsia="Times New Roman" w:hAnsi="Calibri" w:cs="Calibri"/>
                <w:color w:val="000000"/>
                <w:lang w:eastAsia="en-GB"/>
              </w:rPr>
              <w:t>%</w:t>
            </w:r>
          </w:p>
        </w:tc>
        <w:tc>
          <w:tcPr>
            <w:tcW w:w="1984" w:type="dxa"/>
            <w:gridSpan w:val="2"/>
            <w:tcBorders>
              <w:top w:val="nil"/>
              <w:left w:val="nil"/>
              <w:bottom w:val="nil"/>
              <w:right w:val="nil"/>
            </w:tcBorders>
            <w:shd w:val="clear" w:color="auto" w:fill="auto"/>
            <w:noWrap/>
            <w:vAlign w:val="bottom"/>
            <w:hideMark/>
          </w:tcPr>
          <w:p w14:paraId="2E749B19" w14:textId="77777777" w:rsidR="00DC3E17" w:rsidRPr="000A2A25"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r w:rsidR="00DC3E17" w:rsidRPr="000A2A25">
              <w:rPr>
                <w:rFonts w:ascii="Calibri" w:eastAsia="Times New Roman" w:hAnsi="Calibri" w:cs="Calibri"/>
                <w:color w:val="000000"/>
                <w:lang w:eastAsia="en-GB"/>
              </w:rPr>
              <w:t>%</w:t>
            </w:r>
          </w:p>
        </w:tc>
      </w:tr>
      <w:tr w:rsidR="00DC3E17" w:rsidRPr="000A2A25" w14:paraId="7A16AD14" w14:textId="77777777" w:rsidTr="00DC3E17">
        <w:trPr>
          <w:trHeight w:val="300"/>
        </w:trPr>
        <w:tc>
          <w:tcPr>
            <w:tcW w:w="2780" w:type="dxa"/>
            <w:tcBorders>
              <w:top w:val="nil"/>
              <w:left w:val="nil"/>
              <w:bottom w:val="nil"/>
              <w:right w:val="nil"/>
            </w:tcBorders>
            <w:shd w:val="clear" w:color="auto" w:fill="auto"/>
            <w:noWrap/>
            <w:vAlign w:val="bottom"/>
            <w:hideMark/>
          </w:tcPr>
          <w:p w14:paraId="17298F6F" w14:textId="77777777" w:rsidR="00DC3E17" w:rsidRPr="000A2A25" w:rsidRDefault="00DC3E17" w:rsidP="000A2A25">
            <w:pPr>
              <w:spacing w:after="0" w:line="240" w:lineRule="auto"/>
              <w:rPr>
                <w:rFonts w:ascii="Calibri" w:eastAsia="Times New Roman" w:hAnsi="Calibri" w:cs="Calibri"/>
                <w:color w:val="000000"/>
                <w:lang w:eastAsia="en-GB"/>
              </w:rPr>
            </w:pPr>
            <w:r w:rsidRPr="000A2A25">
              <w:rPr>
                <w:rFonts w:ascii="Calibri" w:eastAsia="Times New Roman" w:hAnsi="Calibri" w:cs="Calibri"/>
                <w:color w:val="000000"/>
                <w:lang w:eastAsia="en-GB"/>
              </w:rPr>
              <w:t>Gender Bonus Gap (Median)</w:t>
            </w:r>
          </w:p>
        </w:tc>
        <w:tc>
          <w:tcPr>
            <w:tcW w:w="2253" w:type="dxa"/>
            <w:tcBorders>
              <w:top w:val="nil"/>
              <w:left w:val="nil"/>
              <w:bottom w:val="nil"/>
              <w:right w:val="nil"/>
            </w:tcBorders>
            <w:shd w:val="clear" w:color="auto" w:fill="auto"/>
            <w:noWrap/>
            <w:vAlign w:val="bottom"/>
            <w:hideMark/>
          </w:tcPr>
          <w:p w14:paraId="30704A00" w14:textId="77777777" w:rsidR="00DC3E17" w:rsidRPr="000A2A25" w:rsidRDefault="00DC3E17" w:rsidP="00E46EA0">
            <w:pPr>
              <w:spacing w:after="0" w:line="240" w:lineRule="auto"/>
              <w:jc w:val="center"/>
              <w:rPr>
                <w:rFonts w:ascii="Calibri" w:eastAsia="Times New Roman" w:hAnsi="Calibri" w:cs="Calibri"/>
                <w:color w:val="000000"/>
                <w:lang w:eastAsia="en-GB"/>
              </w:rPr>
            </w:pPr>
            <w:r w:rsidRPr="000A2A25">
              <w:rPr>
                <w:rFonts w:ascii="Calibri" w:eastAsia="Times New Roman" w:hAnsi="Calibri" w:cs="Calibri"/>
                <w:color w:val="000000"/>
                <w:lang w:eastAsia="en-GB"/>
              </w:rPr>
              <w:t>-</w:t>
            </w:r>
            <w:r w:rsidR="00E46EA0">
              <w:rPr>
                <w:rFonts w:ascii="Calibri" w:eastAsia="Times New Roman" w:hAnsi="Calibri" w:cs="Calibri"/>
                <w:color w:val="000000"/>
                <w:lang w:eastAsia="en-GB"/>
              </w:rPr>
              <w:t>2118</w:t>
            </w:r>
            <w:r w:rsidRPr="000A2A25">
              <w:rPr>
                <w:rFonts w:ascii="Calibri" w:eastAsia="Times New Roman" w:hAnsi="Calibri" w:cs="Calibri"/>
                <w:color w:val="000000"/>
                <w:lang w:eastAsia="en-GB"/>
              </w:rPr>
              <w:t>%</w:t>
            </w:r>
          </w:p>
        </w:tc>
        <w:tc>
          <w:tcPr>
            <w:tcW w:w="1984" w:type="dxa"/>
            <w:gridSpan w:val="2"/>
            <w:tcBorders>
              <w:top w:val="nil"/>
              <w:left w:val="nil"/>
              <w:bottom w:val="nil"/>
              <w:right w:val="nil"/>
            </w:tcBorders>
            <w:shd w:val="clear" w:color="auto" w:fill="auto"/>
            <w:noWrap/>
            <w:vAlign w:val="bottom"/>
            <w:hideMark/>
          </w:tcPr>
          <w:p w14:paraId="5ED3B013" w14:textId="77777777" w:rsidR="00DC3E17" w:rsidRPr="000A2A25" w:rsidRDefault="00DC3E17" w:rsidP="00E46EA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E46EA0">
              <w:rPr>
                <w:rFonts w:ascii="Calibri" w:eastAsia="Times New Roman" w:hAnsi="Calibri" w:cs="Calibri"/>
                <w:color w:val="000000"/>
                <w:lang w:eastAsia="en-GB"/>
              </w:rPr>
              <w:t>543</w:t>
            </w:r>
            <w:r w:rsidRPr="000A2A25">
              <w:rPr>
                <w:rFonts w:ascii="Calibri" w:eastAsia="Times New Roman" w:hAnsi="Calibri" w:cs="Calibri"/>
                <w:color w:val="000000"/>
                <w:lang w:eastAsia="en-GB"/>
              </w:rPr>
              <w:t>%</w:t>
            </w:r>
          </w:p>
        </w:tc>
      </w:tr>
    </w:tbl>
    <w:p w14:paraId="52FAD2D9" w14:textId="77777777" w:rsidR="0001679C" w:rsidRDefault="0001679C" w:rsidP="00BE34FD">
      <w:pPr>
        <w:jc w:val="both"/>
      </w:pPr>
    </w:p>
    <w:p w14:paraId="7B77AEF6" w14:textId="77777777" w:rsidR="000A2A25" w:rsidRDefault="009C751F" w:rsidP="009C36D8">
      <w:pPr>
        <w:jc w:val="both"/>
      </w:pPr>
      <w:r>
        <w:t xml:space="preserve">The gender of our </w:t>
      </w:r>
      <w:r w:rsidR="00BE34FD">
        <w:t>workforce is predominantly</w:t>
      </w:r>
      <w:r w:rsidR="00A525B2">
        <w:t xml:space="preserve"> female</w:t>
      </w:r>
      <w:r w:rsidR="00BE34FD">
        <w:t xml:space="preserve">.  </w:t>
      </w:r>
      <w:r w:rsidR="00A525B2">
        <w:tab/>
      </w:r>
    </w:p>
    <w:p w14:paraId="3980154B" w14:textId="77777777" w:rsidR="00A0587E" w:rsidRDefault="00E46EA0" w:rsidP="00E46EA0">
      <w:pPr>
        <w:tabs>
          <w:tab w:val="center" w:pos="4513"/>
        </w:tabs>
        <w:jc w:val="center"/>
      </w:pPr>
      <w:r>
        <w:rPr>
          <w:noProof/>
          <w:lang w:eastAsia="en-GB"/>
        </w:rPr>
        <w:drawing>
          <wp:inline distT="0" distB="0" distL="0" distR="0" wp14:anchorId="2ED41FB8" wp14:editId="1AD1AD4A">
            <wp:extent cx="3114675" cy="2151380"/>
            <wp:effectExtent l="0" t="0" r="952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1375F">
        <w:br w:type="textWrapping" w:clear="all"/>
      </w:r>
    </w:p>
    <w:p w14:paraId="01BDB6E4" w14:textId="77777777" w:rsidR="009C36D8" w:rsidRDefault="009C36D8" w:rsidP="00E46EA0">
      <w:pPr>
        <w:tabs>
          <w:tab w:val="center" w:pos="4513"/>
        </w:tabs>
        <w:jc w:val="center"/>
      </w:pPr>
    </w:p>
    <w:p w14:paraId="661DF7BB" w14:textId="77777777" w:rsidR="000A2A25" w:rsidRDefault="0007589F" w:rsidP="00C022DD">
      <w:pPr>
        <w:tabs>
          <w:tab w:val="center" w:pos="4513"/>
        </w:tabs>
        <w:jc w:val="both"/>
      </w:pPr>
      <w:r>
        <w:t>The table below shows our overall mean and median gender pay</w:t>
      </w:r>
      <w:r w:rsidR="003839F8">
        <w:t xml:space="preserve"> gap based on hourly rates of pay as at the snapshot date (5 April 201</w:t>
      </w:r>
      <w:r w:rsidR="00E46EA0">
        <w:t>9</w:t>
      </w:r>
      <w:r w:rsidR="003839F8">
        <w:t xml:space="preserve">). It also captures the mean and </w:t>
      </w:r>
      <w:r w:rsidR="003839F8" w:rsidRPr="00F4579D">
        <w:t>media</w:t>
      </w:r>
      <w:r w:rsidR="007D7D70" w:rsidRPr="00F4579D">
        <w:t>n</w:t>
      </w:r>
      <w:r w:rsidR="003839F8">
        <w:t xml:space="preserve"> difference between bonuses paid to men and wome</w:t>
      </w:r>
      <w:r w:rsidR="00E46EA0">
        <w:t>n in the year up to 5 April 2019</w:t>
      </w:r>
      <w:r w:rsidR="00DC291A">
        <w:t xml:space="preserve"> </w:t>
      </w:r>
      <w:r w:rsidR="00E46EA0">
        <w:t>for the 2018</w:t>
      </w:r>
      <w:r w:rsidR="003839F8">
        <w:t xml:space="preserve"> performance year.  </w:t>
      </w:r>
    </w:p>
    <w:tbl>
      <w:tblPr>
        <w:tblW w:w="8647" w:type="dxa"/>
        <w:tblLook w:val="04A0" w:firstRow="1" w:lastRow="0" w:firstColumn="1" w:lastColumn="0" w:noHBand="0" w:noVBand="1"/>
      </w:tblPr>
      <w:tblGrid>
        <w:gridCol w:w="3381"/>
        <w:gridCol w:w="1228"/>
        <w:gridCol w:w="1439"/>
        <w:gridCol w:w="236"/>
        <w:gridCol w:w="1332"/>
        <w:gridCol w:w="1031"/>
      </w:tblGrid>
      <w:tr w:rsidR="00DC3E17" w:rsidRPr="00DC3E17" w14:paraId="6B920E2B" w14:textId="77777777" w:rsidTr="00E177C9">
        <w:trPr>
          <w:trHeight w:val="300"/>
        </w:trPr>
        <w:tc>
          <w:tcPr>
            <w:tcW w:w="3381" w:type="dxa"/>
            <w:tcBorders>
              <w:top w:val="nil"/>
              <w:left w:val="nil"/>
              <w:bottom w:val="nil"/>
              <w:right w:val="nil"/>
            </w:tcBorders>
            <w:shd w:val="clear" w:color="auto" w:fill="auto"/>
            <w:noWrap/>
            <w:vAlign w:val="bottom"/>
            <w:hideMark/>
          </w:tcPr>
          <w:p w14:paraId="26B5B5E7" w14:textId="77777777" w:rsidR="00DC3E17" w:rsidRPr="00DC3E17" w:rsidRDefault="00DC3E17" w:rsidP="00DC3E17">
            <w:pPr>
              <w:spacing w:after="0" w:line="240" w:lineRule="auto"/>
              <w:rPr>
                <w:rFonts w:ascii="Times New Roman" w:eastAsia="Times New Roman" w:hAnsi="Times New Roman" w:cs="Times New Roman"/>
                <w:sz w:val="24"/>
                <w:szCs w:val="24"/>
                <w:lang w:eastAsia="en-GB"/>
              </w:rPr>
            </w:pPr>
          </w:p>
        </w:tc>
        <w:tc>
          <w:tcPr>
            <w:tcW w:w="2667" w:type="dxa"/>
            <w:gridSpan w:val="2"/>
            <w:vMerge w:val="restart"/>
            <w:tcBorders>
              <w:top w:val="nil"/>
              <w:left w:val="nil"/>
              <w:bottom w:val="single" w:sz="4" w:space="0" w:color="000000"/>
              <w:right w:val="nil"/>
            </w:tcBorders>
            <w:shd w:val="clear" w:color="auto" w:fill="auto"/>
            <w:noWrap/>
            <w:vAlign w:val="bottom"/>
            <w:hideMark/>
          </w:tcPr>
          <w:p w14:paraId="241017CA" w14:textId="77777777" w:rsidR="00DC3E17" w:rsidRPr="00DC3E17" w:rsidRDefault="00E46EA0" w:rsidP="00DC3E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2019</w:t>
            </w:r>
          </w:p>
        </w:tc>
        <w:tc>
          <w:tcPr>
            <w:tcW w:w="236" w:type="dxa"/>
            <w:tcBorders>
              <w:top w:val="nil"/>
              <w:left w:val="nil"/>
              <w:bottom w:val="nil"/>
              <w:right w:val="nil"/>
            </w:tcBorders>
            <w:shd w:val="clear" w:color="auto" w:fill="auto"/>
            <w:noWrap/>
            <w:vAlign w:val="bottom"/>
            <w:hideMark/>
          </w:tcPr>
          <w:p w14:paraId="186D750E" w14:textId="77777777" w:rsidR="00DC3E17" w:rsidRPr="00DC3E17" w:rsidRDefault="00DC3E17" w:rsidP="00DC3E17">
            <w:pPr>
              <w:spacing w:after="0" w:line="240" w:lineRule="auto"/>
              <w:jc w:val="center"/>
              <w:rPr>
                <w:rFonts w:ascii="Calibri" w:eastAsia="Times New Roman" w:hAnsi="Calibri" w:cs="Calibri"/>
                <w:b/>
                <w:bCs/>
                <w:color w:val="000000"/>
                <w:lang w:eastAsia="en-GB"/>
              </w:rPr>
            </w:pPr>
          </w:p>
        </w:tc>
        <w:tc>
          <w:tcPr>
            <w:tcW w:w="2363" w:type="dxa"/>
            <w:gridSpan w:val="2"/>
            <w:vMerge w:val="restart"/>
            <w:tcBorders>
              <w:top w:val="nil"/>
              <w:left w:val="nil"/>
              <w:bottom w:val="single" w:sz="4" w:space="0" w:color="auto"/>
              <w:right w:val="nil"/>
            </w:tcBorders>
            <w:shd w:val="clear" w:color="auto" w:fill="auto"/>
            <w:noWrap/>
            <w:vAlign w:val="bottom"/>
            <w:hideMark/>
          </w:tcPr>
          <w:p w14:paraId="3A30574E" w14:textId="77777777" w:rsidR="00DC3E17" w:rsidRPr="00DC3E17" w:rsidRDefault="00E46EA0" w:rsidP="00DC3E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2018</w:t>
            </w:r>
          </w:p>
        </w:tc>
      </w:tr>
      <w:tr w:rsidR="00DC3E17" w:rsidRPr="00DC3E17" w14:paraId="29357F98" w14:textId="77777777" w:rsidTr="00E177C9">
        <w:trPr>
          <w:trHeight w:val="300"/>
        </w:trPr>
        <w:tc>
          <w:tcPr>
            <w:tcW w:w="3381" w:type="dxa"/>
            <w:vMerge w:val="restart"/>
            <w:tcBorders>
              <w:top w:val="nil"/>
              <w:left w:val="nil"/>
              <w:bottom w:val="single" w:sz="4" w:space="0" w:color="000000"/>
              <w:right w:val="nil"/>
            </w:tcBorders>
            <w:shd w:val="clear" w:color="auto" w:fill="auto"/>
            <w:vAlign w:val="center"/>
            <w:hideMark/>
          </w:tcPr>
          <w:p w14:paraId="5D3688B9" w14:textId="77777777" w:rsidR="00DC3E17" w:rsidRPr="00DC3E17" w:rsidRDefault="00DC3E17" w:rsidP="00DC3E17">
            <w:pPr>
              <w:spacing w:after="0" w:line="240" w:lineRule="auto"/>
              <w:jc w:val="center"/>
              <w:rPr>
                <w:rFonts w:ascii="Calibri" w:eastAsia="Times New Roman" w:hAnsi="Calibri" w:cs="Calibri"/>
                <w:color w:val="000000"/>
                <w:sz w:val="20"/>
                <w:szCs w:val="20"/>
                <w:lang w:eastAsia="en-GB"/>
              </w:rPr>
            </w:pPr>
            <w:r w:rsidRPr="00DC3E17">
              <w:rPr>
                <w:rFonts w:ascii="Calibri" w:eastAsia="Times New Roman" w:hAnsi="Calibri" w:cs="Calibri"/>
                <w:color w:val="000000"/>
                <w:sz w:val="20"/>
                <w:szCs w:val="20"/>
                <w:lang w:eastAsia="en-GB"/>
              </w:rPr>
              <w:t>Differences between male and female</w:t>
            </w:r>
          </w:p>
        </w:tc>
        <w:tc>
          <w:tcPr>
            <w:tcW w:w="2667" w:type="dxa"/>
            <w:gridSpan w:val="2"/>
            <w:vMerge/>
            <w:tcBorders>
              <w:top w:val="nil"/>
              <w:left w:val="nil"/>
              <w:bottom w:val="single" w:sz="4" w:space="0" w:color="000000"/>
              <w:right w:val="nil"/>
            </w:tcBorders>
            <w:vAlign w:val="center"/>
            <w:hideMark/>
          </w:tcPr>
          <w:p w14:paraId="1027F9DA" w14:textId="77777777" w:rsidR="00DC3E17" w:rsidRPr="00DC3E17" w:rsidRDefault="00DC3E17" w:rsidP="00DC3E17">
            <w:pPr>
              <w:spacing w:after="0" w:line="240" w:lineRule="auto"/>
              <w:rPr>
                <w:rFonts w:ascii="Calibri" w:eastAsia="Times New Roman" w:hAnsi="Calibri" w:cs="Calibri"/>
                <w:b/>
                <w:bCs/>
                <w:color w:val="000000"/>
                <w:lang w:eastAsia="en-GB"/>
              </w:rPr>
            </w:pPr>
          </w:p>
        </w:tc>
        <w:tc>
          <w:tcPr>
            <w:tcW w:w="236" w:type="dxa"/>
            <w:tcBorders>
              <w:top w:val="nil"/>
              <w:left w:val="nil"/>
              <w:bottom w:val="nil"/>
              <w:right w:val="nil"/>
            </w:tcBorders>
            <w:shd w:val="clear" w:color="auto" w:fill="auto"/>
            <w:noWrap/>
            <w:vAlign w:val="bottom"/>
            <w:hideMark/>
          </w:tcPr>
          <w:p w14:paraId="68A8CF19" w14:textId="77777777" w:rsidR="00DC3E17" w:rsidRPr="00DC3E17" w:rsidRDefault="00DC3E17" w:rsidP="00DC3E17">
            <w:pPr>
              <w:spacing w:after="0" w:line="240" w:lineRule="auto"/>
              <w:jc w:val="center"/>
              <w:rPr>
                <w:rFonts w:ascii="Calibri" w:eastAsia="Times New Roman" w:hAnsi="Calibri" w:cs="Calibri"/>
                <w:color w:val="000000"/>
                <w:sz w:val="20"/>
                <w:szCs w:val="20"/>
                <w:lang w:eastAsia="en-GB"/>
              </w:rPr>
            </w:pPr>
          </w:p>
        </w:tc>
        <w:tc>
          <w:tcPr>
            <w:tcW w:w="2363" w:type="dxa"/>
            <w:gridSpan w:val="2"/>
            <w:vMerge/>
            <w:tcBorders>
              <w:top w:val="single" w:sz="4" w:space="0" w:color="000000"/>
              <w:left w:val="nil"/>
              <w:bottom w:val="single" w:sz="4" w:space="0" w:color="auto"/>
              <w:right w:val="nil"/>
            </w:tcBorders>
            <w:vAlign w:val="center"/>
            <w:hideMark/>
          </w:tcPr>
          <w:p w14:paraId="2F1DE70C" w14:textId="77777777" w:rsidR="00DC3E17" w:rsidRPr="00DC3E17" w:rsidRDefault="00DC3E17" w:rsidP="00DC3E17">
            <w:pPr>
              <w:spacing w:after="0" w:line="240" w:lineRule="auto"/>
              <w:rPr>
                <w:rFonts w:ascii="Calibri" w:eastAsia="Times New Roman" w:hAnsi="Calibri" w:cs="Calibri"/>
                <w:b/>
                <w:bCs/>
                <w:color w:val="000000"/>
                <w:lang w:eastAsia="en-GB"/>
              </w:rPr>
            </w:pPr>
          </w:p>
        </w:tc>
      </w:tr>
      <w:tr w:rsidR="00E177C9" w:rsidRPr="00DC3E17" w14:paraId="204016AA" w14:textId="77777777" w:rsidTr="00E177C9">
        <w:trPr>
          <w:trHeight w:val="300"/>
        </w:trPr>
        <w:tc>
          <w:tcPr>
            <w:tcW w:w="3381" w:type="dxa"/>
            <w:vMerge/>
            <w:tcBorders>
              <w:top w:val="nil"/>
              <w:left w:val="nil"/>
              <w:bottom w:val="single" w:sz="4" w:space="0" w:color="000000"/>
              <w:right w:val="nil"/>
            </w:tcBorders>
            <w:vAlign w:val="center"/>
            <w:hideMark/>
          </w:tcPr>
          <w:p w14:paraId="046CA198" w14:textId="77777777" w:rsidR="00DC3E17" w:rsidRPr="00DC3E17" w:rsidRDefault="00DC3E17" w:rsidP="00DC3E17">
            <w:pPr>
              <w:spacing w:after="0" w:line="240" w:lineRule="auto"/>
              <w:rPr>
                <w:rFonts w:ascii="Calibri" w:eastAsia="Times New Roman" w:hAnsi="Calibri" w:cs="Calibri"/>
                <w:color w:val="000000"/>
                <w:sz w:val="20"/>
                <w:szCs w:val="20"/>
                <w:lang w:eastAsia="en-GB"/>
              </w:rPr>
            </w:pPr>
          </w:p>
        </w:tc>
        <w:tc>
          <w:tcPr>
            <w:tcW w:w="1228" w:type="dxa"/>
            <w:tcBorders>
              <w:top w:val="nil"/>
              <w:left w:val="nil"/>
              <w:bottom w:val="nil"/>
              <w:right w:val="nil"/>
            </w:tcBorders>
            <w:shd w:val="clear" w:color="auto" w:fill="auto"/>
            <w:noWrap/>
            <w:vAlign w:val="bottom"/>
            <w:hideMark/>
          </w:tcPr>
          <w:p w14:paraId="5680009C" w14:textId="77777777" w:rsidR="00DC3E17" w:rsidRPr="00DC3E17" w:rsidRDefault="00DC3E17" w:rsidP="00DC3E17">
            <w:pPr>
              <w:spacing w:after="0" w:line="240" w:lineRule="auto"/>
              <w:jc w:val="center"/>
              <w:rPr>
                <w:rFonts w:ascii="Calibri" w:eastAsia="Times New Roman" w:hAnsi="Calibri" w:cs="Calibri"/>
                <w:b/>
                <w:bCs/>
                <w:color w:val="000000"/>
                <w:lang w:eastAsia="en-GB"/>
              </w:rPr>
            </w:pPr>
            <w:r w:rsidRPr="00DC3E17">
              <w:rPr>
                <w:rFonts w:ascii="Calibri" w:eastAsia="Times New Roman" w:hAnsi="Calibri" w:cs="Calibri"/>
                <w:b/>
                <w:bCs/>
                <w:color w:val="000000"/>
                <w:lang w:eastAsia="en-GB"/>
              </w:rPr>
              <w:t>Mean</w:t>
            </w:r>
          </w:p>
        </w:tc>
        <w:tc>
          <w:tcPr>
            <w:tcW w:w="1439" w:type="dxa"/>
            <w:tcBorders>
              <w:top w:val="nil"/>
              <w:left w:val="nil"/>
              <w:bottom w:val="nil"/>
              <w:right w:val="nil"/>
            </w:tcBorders>
            <w:shd w:val="clear" w:color="auto" w:fill="auto"/>
            <w:noWrap/>
            <w:vAlign w:val="bottom"/>
            <w:hideMark/>
          </w:tcPr>
          <w:p w14:paraId="07A449F3" w14:textId="77777777" w:rsidR="00DC3E17" w:rsidRPr="00DC3E17" w:rsidRDefault="00DC3E17" w:rsidP="00DC3E17">
            <w:pPr>
              <w:spacing w:after="0" w:line="240" w:lineRule="auto"/>
              <w:jc w:val="center"/>
              <w:rPr>
                <w:rFonts w:ascii="Calibri" w:eastAsia="Times New Roman" w:hAnsi="Calibri" w:cs="Calibri"/>
                <w:b/>
                <w:bCs/>
                <w:color w:val="000000"/>
                <w:lang w:eastAsia="en-GB"/>
              </w:rPr>
            </w:pPr>
            <w:r w:rsidRPr="00DC3E17">
              <w:rPr>
                <w:rFonts w:ascii="Calibri" w:eastAsia="Times New Roman" w:hAnsi="Calibri" w:cs="Calibri"/>
                <w:b/>
                <w:bCs/>
                <w:color w:val="000000"/>
                <w:lang w:eastAsia="en-GB"/>
              </w:rPr>
              <w:t>Median</w:t>
            </w:r>
          </w:p>
        </w:tc>
        <w:tc>
          <w:tcPr>
            <w:tcW w:w="236" w:type="dxa"/>
            <w:tcBorders>
              <w:top w:val="nil"/>
              <w:left w:val="nil"/>
              <w:bottom w:val="nil"/>
              <w:right w:val="nil"/>
            </w:tcBorders>
            <w:shd w:val="clear" w:color="auto" w:fill="auto"/>
            <w:noWrap/>
            <w:vAlign w:val="bottom"/>
            <w:hideMark/>
          </w:tcPr>
          <w:p w14:paraId="44B5AA9F" w14:textId="77777777" w:rsidR="00DC3E17" w:rsidRPr="00DC3E17" w:rsidRDefault="00DC3E17" w:rsidP="00DC3E17">
            <w:pPr>
              <w:spacing w:after="0" w:line="240" w:lineRule="auto"/>
              <w:jc w:val="center"/>
              <w:rPr>
                <w:rFonts w:ascii="Calibri" w:eastAsia="Times New Roman" w:hAnsi="Calibri" w:cs="Calibri"/>
                <w:b/>
                <w:bCs/>
                <w:color w:val="000000"/>
                <w:lang w:eastAsia="en-GB"/>
              </w:rPr>
            </w:pPr>
          </w:p>
        </w:tc>
        <w:tc>
          <w:tcPr>
            <w:tcW w:w="1332" w:type="dxa"/>
            <w:tcBorders>
              <w:top w:val="single" w:sz="4" w:space="0" w:color="auto"/>
              <w:left w:val="nil"/>
              <w:bottom w:val="nil"/>
              <w:right w:val="nil"/>
            </w:tcBorders>
            <w:shd w:val="clear" w:color="auto" w:fill="auto"/>
            <w:noWrap/>
            <w:vAlign w:val="bottom"/>
            <w:hideMark/>
          </w:tcPr>
          <w:p w14:paraId="085F6A36" w14:textId="77777777" w:rsidR="00DC3E17" w:rsidRPr="00DC3E17" w:rsidRDefault="00DC3E17" w:rsidP="00DC3E17">
            <w:pPr>
              <w:spacing w:after="0" w:line="240" w:lineRule="auto"/>
              <w:jc w:val="center"/>
              <w:rPr>
                <w:rFonts w:ascii="Calibri" w:eastAsia="Times New Roman" w:hAnsi="Calibri" w:cs="Calibri"/>
                <w:b/>
                <w:bCs/>
                <w:color w:val="000000"/>
                <w:lang w:eastAsia="en-GB"/>
              </w:rPr>
            </w:pPr>
            <w:r w:rsidRPr="00DC3E17">
              <w:rPr>
                <w:rFonts w:ascii="Calibri" w:eastAsia="Times New Roman" w:hAnsi="Calibri" w:cs="Calibri"/>
                <w:b/>
                <w:bCs/>
                <w:color w:val="000000"/>
                <w:lang w:eastAsia="en-GB"/>
              </w:rPr>
              <w:t>Mean</w:t>
            </w:r>
          </w:p>
        </w:tc>
        <w:tc>
          <w:tcPr>
            <w:tcW w:w="1031" w:type="dxa"/>
            <w:tcBorders>
              <w:top w:val="single" w:sz="4" w:space="0" w:color="auto"/>
              <w:left w:val="nil"/>
              <w:bottom w:val="nil"/>
              <w:right w:val="nil"/>
            </w:tcBorders>
            <w:shd w:val="clear" w:color="auto" w:fill="auto"/>
            <w:noWrap/>
            <w:vAlign w:val="bottom"/>
            <w:hideMark/>
          </w:tcPr>
          <w:p w14:paraId="4F7A41EE" w14:textId="77777777" w:rsidR="00DC3E17" w:rsidRPr="00DC3E17" w:rsidRDefault="00DC3E17" w:rsidP="00DC3E17">
            <w:pPr>
              <w:spacing w:after="0" w:line="240" w:lineRule="auto"/>
              <w:jc w:val="center"/>
              <w:rPr>
                <w:rFonts w:ascii="Calibri" w:eastAsia="Times New Roman" w:hAnsi="Calibri" w:cs="Calibri"/>
                <w:b/>
                <w:bCs/>
                <w:color w:val="000000"/>
                <w:lang w:eastAsia="en-GB"/>
              </w:rPr>
            </w:pPr>
            <w:r w:rsidRPr="00DC3E17">
              <w:rPr>
                <w:rFonts w:ascii="Calibri" w:eastAsia="Times New Roman" w:hAnsi="Calibri" w:cs="Calibri"/>
                <w:b/>
                <w:bCs/>
                <w:color w:val="000000"/>
                <w:lang w:eastAsia="en-GB"/>
              </w:rPr>
              <w:t>Median</w:t>
            </w:r>
          </w:p>
        </w:tc>
      </w:tr>
      <w:tr w:rsidR="00E177C9" w:rsidRPr="00DC3E17" w14:paraId="2247C0A5" w14:textId="77777777" w:rsidTr="00E177C9">
        <w:trPr>
          <w:trHeight w:val="300"/>
        </w:trPr>
        <w:tc>
          <w:tcPr>
            <w:tcW w:w="3381" w:type="dxa"/>
            <w:vMerge w:val="restart"/>
            <w:tcBorders>
              <w:top w:val="nil"/>
              <w:left w:val="nil"/>
              <w:bottom w:val="single" w:sz="4" w:space="0" w:color="000000"/>
              <w:right w:val="nil"/>
            </w:tcBorders>
            <w:shd w:val="clear" w:color="auto" w:fill="auto"/>
            <w:vAlign w:val="center"/>
            <w:hideMark/>
          </w:tcPr>
          <w:p w14:paraId="55B22B02" w14:textId="77777777" w:rsidR="00DC3E17" w:rsidRPr="00DC3E17" w:rsidRDefault="00DC3E17" w:rsidP="00DC3E17">
            <w:pPr>
              <w:spacing w:after="0" w:line="240" w:lineRule="auto"/>
              <w:ind w:firstLineChars="200" w:firstLine="440"/>
              <w:rPr>
                <w:rFonts w:ascii="Calibri" w:eastAsia="Times New Roman" w:hAnsi="Calibri" w:cs="Calibri"/>
                <w:color w:val="000000"/>
                <w:lang w:eastAsia="en-GB"/>
              </w:rPr>
            </w:pPr>
            <w:r w:rsidRPr="00DC3E17">
              <w:rPr>
                <w:rFonts w:ascii="Calibri" w:eastAsia="Times New Roman" w:hAnsi="Calibri" w:cs="Calibri"/>
                <w:color w:val="000000"/>
                <w:lang w:eastAsia="en-GB"/>
              </w:rPr>
              <w:t>Female hourly rate of pay</w:t>
            </w:r>
          </w:p>
        </w:tc>
        <w:tc>
          <w:tcPr>
            <w:tcW w:w="1228" w:type="dxa"/>
            <w:tcBorders>
              <w:top w:val="single" w:sz="4" w:space="0" w:color="auto"/>
              <w:left w:val="nil"/>
              <w:bottom w:val="nil"/>
              <w:right w:val="nil"/>
            </w:tcBorders>
            <w:shd w:val="clear" w:color="auto" w:fill="auto"/>
            <w:noWrap/>
            <w:vAlign w:val="bottom"/>
            <w:hideMark/>
          </w:tcPr>
          <w:p w14:paraId="2F28CEDC" w14:textId="77777777" w:rsidR="00DC3E17" w:rsidRPr="00DC3E17"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r w:rsidR="00DC3E17" w:rsidRPr="00DC3E17">
              <w:rPr>
                <w:rFonts w:ascii="Calibri" w:eastAsia="Times New Roman" w:hAnsi="Calibri" w:cs="Calibri"/>
                <w:color w:val="000000"/>
                <w:lang w:eastAsia="en-GB"/>
              </w:rPr>
              <w:t>%</w:t>
            </w:r>
          </w:p>
        </w:tc>
        <w:tc>
          <w:tcPr>
            <w:tcW w:w="1439" w:type="dxa"/>
            <w:tcBorders>
              <w:top w:val="single" w:sz="4" w:space="0" w:color="auto"/>
              <w:left w:val="nil"/>
              <w:bottom w:val="nil"/>
              <w:right w:val="nil"/>
            </w:tcBorders>
            <w:shd w:val="clear" w:color="auto" w:fill="auto"/>
            <w:noWrap/>
            <w:vAlign w:val="bottom"/>
            <w:hideMark/>
          </w:tcPr>
          <w:p w14:paraId="4B948D50" w14:textId="77777777" w:rsidR="00DC3E17" w:rsidRPr="00DC3E17"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r w:rsidR="00DC3E17" w:rsidRPr="00DC3E17">
              <w:rPr>
                <w:rFonts w:ascii="Calibri" w:eastAsia="Times New Roman" w:hAnsi="Calibri" w:cs="Calibri"/>
                <w:color w:val="000000"/>
                <w:lang w:eastAsia="en-GB"/>
              </w:rPr>
              <w:t>%</w:t>
            </w:r>
          </w:p>
        </w:tc>
        <w:tc>
          <w:tcPr>
            <w:tcW w:w="236" w:type="dxa"/>
            <w:tcBorders>
              <w:top w:val="nil"/>
              <w:left w:val="nil"/>
              <w:bottom w:val="nil"/>
              <w:right w:val="nil"/>
            </w:tcBorders>
            <w:shd w:val="clear" w:color="auto" w:fill="auto"/>
            <w:noWrap/>
            <w:vAlign w:val="bottom"/>
            <w:hideMark/>
          </w:tcPr>
          <w:p w14:paraId="1CFE032B" w14:textId="77777777" w:rsidR="00DC3E17" w:rsidRPr="00DC3E17" w:rsidRDefault="00DC3E17" w:rsidP="00DC3E17">
            <w:pPr>
              <w:spacing w:after="0" w:line="240" w:lineRule="auto"/>
              <w:jc w:val="center"/>
              <w:rPr>
                <w:rFonts w:ascii="Calibri" w:eastAsia="Times New Roman" w:hAnsi="Calibri" w:cs="Calibri"/>
                <w:color w:val="000000"/>
                <w:lang w:eastAsia="en-GB"/>
              </w:rPr>
            </w:pPr>
          </w:p>
        </w:tc>
        <w:tc>
          <w:tcPr>
            <w:tcW w:w="1332" w:type="dxa"/>
            <w:tcBorders>
              <w:top w:val="single" w:sz="4" w:space="0" w:color="auto"/>
              <w:left w:val="nil"/>
              <w:bottom w:val="nil"/>
              <w:right w:val="nil"/>
            </w:tcBorders>
            <w:shd w:val="clear" w:color="auto" w:fill="auto"/>
            <w:noWrap/>
            <w:vAlign w:val="bottom"/>
            <w:hideMark/>
          </w:tcPr>
          <w:p w14:paraId="57CC3893" w14:textId="77777777" w:rsidR="00DC3E17" w:rsidRPr="00DC3E17" w:rsidRDefault="00DC3E17" w:rsidP="00DC3E17">
            <w:pPr>
              <w:spacing w:after="0" w:line="240" w:lineRule="auto"/>
              <w:jc w:val="center"/>
              <w:rPr>
                <w:rFonts w:ascii="Calibri" w:eastAsia="Times New Roman" w:hAnsi="Calibri" w:cs="Calibri"/>
                <w:color w:val="000000"/>
                <w:lang w:eastAsia="en-GB"/>
              </w:rPr>
            </w:pPr>
            <w:r w:rsidRPr="00DC3E17">
              <w:rPr>
                <w:rFonts w:ascii="Calibri" w:eastAsia="Times New Roman" w:hAnsi="Calibri" w:cs="Calibri"/>
                <w:color w:val="000000"/>
                <w:lang w:eastAsia="en-GB"/>
              </w:rPr>
              <w:t>18%</w:t>
            </w:r>
          </w:p>
        </w:tc>
        <w:tc>
          <w:tcPr>
            <w:tcW w:w="1031" w:type="dxa"/>
            <w:tcBorders>
              <w:top w:val="single" w:sz="4" w:space="0" w:color="auto"/>
              <w:left w:val="nil"/>
              <w:bottom w:val="nil"/>
              <w:right w:val="nil"/>
            </w:tcBorders>
            <w:shd w:val="clear" w:color="auto" w:fill="auto"/>
            <w:noWrap/>
            <w:vAlign w:val="bottom"/>
            <w:hideMark/>
          </w:tcPr>
          <w:p w14:paraId="50A342D5" w14:textId="77777777" w:rsidR="00DC3E17" w:rsidRPr="00DC3E17"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r w:rsidR="00DC3E17" w:rsidRPr="00DC3E17">
              <w:rPr>
                <w:rFonts w:ascii="Calibri" w:eastAsia="Times New Roman" w:hAnsi="Calibri" w:cs="Calibri"/>
                <w:color w:val="000000"/>
                <w:lang w:eastAsia="en-GB"/>
              </w:rPr>
              <w:t>%</w:t>
            </w:r>
          </w:p>
        </w:tc>
      </w:tr>
      <w:tr w:rsidR="00DC3E17" w:rsidRPr="00DC3E17" w14:paraId="73FEFA89" w14:textId="77777777" w:rsidTr="00E177C9">
        <w:trPr>
          <w:trHeight w:val="300"/>
        </w:trPr>
        <w:tc>
          <w:tcPr>
            <w:tcW w:w="3381" w:type="dxa"/>
            <w:vMerge/>
            <w:tcBorders>
              <w:top w:val="nil"/>
              <w:left w:val="nil"/>
              <w:bottom w:val="single" w:sz="4" w:space="0" w:color="000000"/>
              <w:right w:val="nil"/>
            </w:tcBorders>
            <w:vAlign w:val="center"/>
            <w:hideMark/>
          </w:tcPr>
          <w:p w14:paraId="35B6368F" w14:textId="77777777" w:rsidR="00DC3E17" w:rsidRPr="00DC3E17" w:rsidRDefault="00DC3E17" w:rsidP="00DC3E17">
            <w:pPr>
              <w:spacing w:after="0" w:line="240" w:lineRule="auto"/>
              <w:rPr>
                <w:rFonts w:ascii="Calibri" w:eastAsia="Times New Roman" w:hAnsi="Calibri" w:cs="Calibri"/>
                <w:color w:val="000000"/>
                <w:lang w:eastAsia="en-GB"/>
              </w:rPr>
            </w:pPr>
          </w:p>
        </w:tc>
        <w:tc>
          <w:tcPr>
            <w:tcW w:w="1228" w:type="dxa"/>
            <w:tcBorders>
              <w:top w:val="nil"/>
              <w:left w:val="nil"/>
              <w:bottom w:val="single" w:sz="4" w:space="0" w:color="auto"/>
              <w:right w:val="nil"/>
            </w:tcBorders>
            <w:shd w:val="clear" w:color="auto" w:fill="auto"/>
            <w:noWrap/>
            <w:vAlign w:val="bottom"/>
            <w:hideMark/>
          </w:tcPr>
          <w:p w14:paraId="2A57E3C4" w14:textId="77777777" w:rsidR="00DC3E17" w:rsidRPr="00DC3E17" w:rsidRDefault="00DC3E17" w:rsidP="00DC3E17">
            <w:pPr>
              <w:spacing w:after="0" w:line="240" w:lineRule="auto"/>
              <w:jc w:val="center"/>
              <w:rPr>
                <w:rFonts w:ascii="Calibri" w:eastAsia="Times New Roman" w:hAnsi="Calibri" w:cs="Calibri"/>
                <w:color w:val="000000"/>
                <w:sz w:val="18"/>
                <w:szCs w:val="18"/>
                <w:lang w:eastAsia="en-GB"/>
              </w:rPr>
            </w:pPr>
            <w:r w:rsidRPr="00DC3E17">
              <w:rPr>
                <w:rFonts w:ascii="Calibri" w:eastAsia="Times New Roman" w:hAnsi="Calibri" w:cs="Calibri"/>
                <w:color w:val="000000"/>
                <w:sz w:val="18"/>
                <w:szCs w:val="18"/>
                <w:lang w:eastAsia="en-GB"/>
              </w:rPr>
              <w:t>(Lower)</w:t>
            </w:r>
          </w:p>
        </w:tc>
        <w:tc>
          <w:tcPr>
            <w:tcW w:w="1439" w:type="dxa"/>
            <w:tcBorders>
              <w:top w:val="nil"/>
              <w:left w:val="nil"/>
              <w:bottom w:val="single" w:sz="4" w:space="0" w:color="auto"/>
              <w:right w:val="nil"/>
            </w:tcBorders>
            <w:shd w:val="clear" w:color="auto" w:fill="auto"/>
            <w:noWrap/>
            <w:vAlign w:val="bottom"/>
            <w:hideMark/>
          </w:tcPr>
          <w:p w14:paraId="08C9AB8D" w14:textId="77777777" w:rsidR="00DC3E17" w:rsidRPr="00DC3E17" w:rsidRDefault="00DC3E17" w:rsidP="00DC3E17">
            <w:pPr>
              <w:spacing w:after="0" w:line="240" w:lineRule="auto"/>
              <w:jc w:val="center"/>
              <w:rPr>
                <w:rFonts w:ascii="Calibri" w:eastAsia="Times New Roman" w:hAnsi="Calibri" w:cs="Calibri"/>
                <w:color w:val="000000"/>
                <w:sz w:val="18"/>
                <w:szCs w:val="18"/>
                <w:lang w:eastAsia="en-GB"/>
              </w:rPr>
            </w:pPr>
            <w:r w:rsidRPr="00DC3E17">
              <w:rPr>
                <w:rFonts w:ascii="Calibri" w:eastAsia="Times New Roman" w:hAnsi="Calibri" w:cs="Calibri"/>
                <w:color w:val="000000"/>
                <w:sz w:val="18"/>
                <w:szCs w:val="18"/>
                <w:lang w:eastAsia="en-GB"/>
              </w:rPr>
              <w:t>(Lower)</w:t>
            </w:r>
          </w:p>
        </w:tc>
        <w:tc>
          <w:tcPr>
            <w:tcW w:w="236" w:type="dxa"/>
            <w:tcBorders>
              <w:top w:val="nil"/>
              <w:left w:val="nil"/>
              <w:bottom w:val="nil"/>
              <w:right w:val="nil"/>
            </w:tcBorders>
            <w:shd w:val="clear" w:color="auto" w:fill="auto"/>
            <w:noWrap/>
            <w:vAlign w:val="bottom"/>
            <w:hideMark/>
          </w:tcPr>
          <w:p w14:paraId="3BC6EF6E" w14:textId="77777777" w:rsidR="00DC3E17" w:rsidRPr="00DC3E17" w:rsidRDefault="00DC3E17" w:rsidP="00DC3E17">
            <w:pPr>
              <w:spacing w:after="0" w:line="240" w:lineRule="auto"/>
              <w:jc w:val="center"/>
              <w:rPr>
                <w:rFonts w:ascii="Calibri" w:eastAsia="Times New Roman" w:hAnsi="Calibri" w:cs="Calibri"/>
                <w:color w:val="000000"/>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14:paraId="59DC1312" w14:textId="77777777" w:rsidR="00DC3E17" w:rsidRPr="00DC3E17" w:rsidRDefault="00DC3E17" w:rsidP="00DC3E17">
            <w:pPr>
              <w:spacing w:after="0" w:line="240" w:lineRule="auto"/>
              <w:jc w:val="center"/>
              <w:rPr>
                <w:rFonts w:ascii="Calibri" w:eastAsia="Times New Roman" w:hAnsi="Calibri" w:cs="Calibri"/>
                <w:color w:val="000000"/>
                <w:sz w:val="18"/>
                <w:szCs w:val="18"/>
                <w:lang w:eastAsia="en-GB"/>
              </w:rPr>
            </w:pPr>
            <w:r w:rsidRPr="00DC3E17">
              <w:rPr>
                <w:rFonts w:ascii="Calibri" w:eastAsia="Times New Roman" w:hAnsi="Calibri" w:cs="Calibri"/>
                <w:color w:val="000000"/>
                <w:sz w:val="18"/>
                <w:szCs w:val="18"/>
                <w:lang w:eastAsia="en-GB"/>
              </w:rPr>
              <w:t>(Lower)</w:t>
            </w:r>
          </w:p>
        </w:tc>
        <w:tc>
          <w:tcPr>
            <w:tcW w:w="1031" w:type="dxa"/>
            <w:tcBorders>
              <w:top w:val="nil"/>
              <w:left w:val="nil"/>
              <w:bottom w:val="single" w:sz="4" w:space="0" w:color="auto"/>
              <w:right w:val="nil"/>
            </w:tcBorders>
            <w:shd w:val="clear" w:color="auto" w:fill="auto"/>
            <w:noWrap/>
            <w:vAlign w:val="bottom"/>
            <w:hideMark/>
          </w:tcPr>
          <w:p w14:paraId="6AD477A6" w14:textId="77777777" w:rsidR="00DC3E17" w:rsidRPr="00DC3E17" w:rsidRDefault="00DC3E17" w:rsidP="00DC3E17">
            <w:pPr>
              <w:spacing w:after="0" w:line="240" w:lineRule="auto"/>
              <w:jc w:val="center"/>
              <w:rPr>
                <w:rFonts w:ascii="Calibri" w:eastAsia="Times New Roman" w:hAnsi="Calibri" w:cs="Calibri"/>
                <w:color w:val="000000"/>
                <w:sz w:val="18"/>
                <w:szCs w:val="18"/>
                <w:lang w:eastAsia="en-GB"/>
              </w:rPr>
            </w:pPr>
            <w:r w:rsidRPr="00DC3E17">
              <w:rPr>
                <w:rFonts w:ascii="Calibri" w:eastAsia="Times New Roman" w:hAnsi="Calibri" w:cs="Calibri"/>
                <w:color w:val="000000"/>
                <w:sz w:val="18"/>
                <w:szCs w:val="18"/>
                <w:lang w:eastAsia="en-GB"/>
              </w:rPr>
              <w:t>(Lower)</w:t>
            </w:r>
          </w:p>
        </w:tc>
      </w:tr>
      <w:tr w:rsidR="00E177C9" w:rsidRPr="00DC3E17" w14:paraId="592AC3DB" w14:textId="77777777" w:rsidTr="00E177C9">
        <w:trPr>
          <w:trHeight w:val="300"/>
        </w:trPr>
        <w:tc>
          <w:tcPr>
            <w:tcW w:w="3381" w:type="dxa"/>
            <w:vMerge w:val="restart"/>
            <w:tcBorders>
              <w:top w:val="nil"/>
              <w:left w:val="nil"/>
              <w:bottom w:val="single" w:sz="4" w:space="0" w:color="000000"/>
              <w:right w:val="nil"/>
            </w:tcBorders>
            <w:shd w:val="clear" w:color="auto" w:fill="auto"/>
            <w:vAlign w:val="center"/>
            <w:hideMark/>
          </w:tcPr>
          <w:p w14:paraId="17DE54E1" w14:textId="77777777" w:rsidR="00DC3E17" w:rsidRPr="00DC3E17" w:rsidRDefault="00DC3E17" w:rsidP="00DC3E17">
            <w:pPr>
              <w:spacing w:after="0" w:line="240" w:lineRule="auto"/>
              <w:ind w:firstLineChars="200" w:firstLine="440"/>
              <w:rPr>
                <w:rFonts w:ascii="Calibri" w:eastAsia="Times New Roman" w:hAnsi="Calibri" w:cs="Calibri"/>
                <w:color w:val="000000"/>
                <w:lang w:eastAsia="en-GB"/>
              </w:rPr>
            </w:pPr>
            <w:r w:rsidRPr="00DC3E17">
              <w:rPr>
                <w:rFonts w:ascii="Calibri" w:eastAsia="Times New Roman" w:hAnsi="Calibri" w:cs="Calibri"/>
                <w:color w:val="000000"/>
                <w:lang w:eastAsia="en-GB"/>
              </w:rPr>
              <w:t>Female bonuses</w:t>
            </w:r>
          </w:p>
        </w:tc>
        <w:tc>
          <w:tcPr>
            <w:tcW w:w="1228" w:type="dxa"/>
            <w:tcBorders>
              <w:top w:val="nil"/>
              <w:left w:val="nil"/>
              <w:bottom w:val="nil"/>
              <w:right w:val="nil"/>
            </w:tcBorders>
            <w:shd w:val="clear" w:color="auto" w:fill="auto"/>
            <w:noWrap/>
            <w:vAlign w:val="bottom"/>
            <w:hideMark/>
          </w:tcPr>
          <w:p w14:paraId="476AFFFF" w14:textId="77777777" w:rsidR="00DC3E17" w:rsidRPr="00DC3E17"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00DC3E17" w:rsidRPr="00DC3E17">
              <w:rPr>
                <w:rFonts w:ascii="Calibri" w:eastAsia="Times New Roman" w:hAnsi="Calibri" w:cs="Calibri"/>
                <w:color w:val="000000"/>
                <w:lang w:eastAsia="en-GB"/>
              </w:rPr>
              <w:t>%</w:t>
            </w:r>
          </w:p>
        </w:tc>
        <w:tc>
          <w:tcPr>
            <w:tcW w:w="1439" w:type="dxa"/>
            <w:tcBorders>
              <w:top w:val="nil"/>
              <w:left w:val="nil"/>
              <w:bottom w:val="nil"/>
              <w:right w:val="nil"/>
            </w:tcBorders>
            <w:shd w:val="clear" w:color="auto" w:fill="auto"/>
            <w:noWrap/>
            <w:vAlign w:val="bottom"/>
            <w:hideMark/>
          </w:tcPr>
          <w:p w14:paraId="6EEBC5AE" w14:textId="77777777" w:rsidR="00DC3E17" w:rsidRPr="00DC3E17" w:rsidRDefault="004C6E44"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E46EA0" w:rsidRPr="00A0172B">
              <w:rPr>
                <w:rFonts w:ascii="Calibri" w:eastAsia="Times New Roman" w:hAnsi="Calibri" w:cs="Calibri"/>
                <w:color w:val="000000"/>
                <w:lang w:eastAsia="en-GB"/>
              </w:rPr>
              <w:t>2118</w:t>
            </w:r>
            <w:r w:rsidR="00DC3E17" w:rsidRPr="00A0172B">
              <w:rPr>
                <w:rFonts w:ascii="Calibri" w:eastAsia="Times New Roman" w:hAnsi="Calibri" w:cs="Calibri"/>
                <w:color w:val="000000"/>
                <w:lang w:eastAsia="en-GB"/>
              </w:rPr>
              <w:t>%</w:t>
            </w:r>
          </w:p>
        </w:tc>
        <w:tc>
          <w:tcPr>
            <w:tcW w:w="236" w:type="dxa"/>
            <w:tcBorders>
              <w:top w:val="nil"/>
              <w:left w:val="nil"/>
              <w:bottom w:val="nil"/>
              <w:right w:val="nil"/>
            </w:tcBorders>
            <w:shd w:val="clear" w:color="auto" w:fill="auto"/>
            <w:noWrap/>
            <w:vAlign w:val="bottom"/>
            <w:hideMark/>
          </w:tcPr>
          <w:p w14:paraId="660BA190" w14:textId="77777777" w:rsidR="00DC3E17" w:rsidRPr="00DC3E17" w:rsidRDefault="00DC3E17" w:rsidP="00DC3E17">
            <w:pPr>
              <w:spacing w:after="0" w:line="240" w:lineRule="auto"/>
              <w:jc w:val="center"/>
              <w:rPr>
                <w:rFonts w:ascii="Calibri" w:eastAsia="Times New Roman" w:hAnsi="Calibri" w:cs="Calibri"/>
                <w:color w:val="000000"/>
                <w:lang w:eastAsia="en-GB"/>
              </w:rPr>
            </w:pPr>
          </w:p>
        </w:tc>
        <w:tc>
          <w:tcPr>
            <w:tcW w:w="1332" w:type="dxa"/>
            <w:tcBorders>
              <w:top w:val="nil"/>
              <w:left w:val="nil"/>
              <w:bottom w:val="nil"/>
              <w:right w:val="nil"/>
            </w:tcBorders>
            <w:shd w:val="clear" w:color="auto" w:fill="auto"/>
            <w:noWrap/>
            <w:vAlign w:val="bottom"/>
            <w:hideMark/>
          </w:tcPr>
          <w:p w14:paraId="67420D2B" w14:textId="77777777" w:rsidR="00DC3E17" w:rsidRPr="00DC3E17" w:rsidRDefault="00E46EA0"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r w:rsidR="00DC3E17" w:rsidRPr="00DC3E17">
              <w:rPr>
                <w:rFonts w:ascii="Calibri" w:eastAsia="Times New Roman" w:hAnsi="Calibri" w:cs="Calibri"/>
                <w:color w:val="000000"/>
                <w:lang w:eastAsia="en-GB"/>
              </w:rPr>
              <w:t>%</w:t>
            </w:r>
          </w:p>
        </w:tc>
        <w:tc>
          <w:tcPr>
            <w:tcW w:w="1031" w:type="dxa"/>
            <w:tcBorders>
              <w:top w:val="nil"/>
              <w:left w:val="nil"/>
              <w:bottom w:val="nil"/>
              <w:right w:val="nil"/>
            </w:tcBorders>
            <w:shd w:val="clear" w:color="auto" w:fill="auto"/>
            <w:noWrap/>
            <w:vAlign w:val="bottom"/>
            <w:hideMark/>
          </w:tcPr>
          <w:p w14:paraId="6C000E20" w14:textId="77777777" w:rsidR="00DC3E17" w:rsidRPr="00DC3E17" w:rsidRDefault="004C6E44" w:rsidP="00DC3E1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E46EA0">
              <w:rPr>
                <w:rFonts w:ascii="Calibri" w:eastAsia="Times New Roman" w:hAnsi="Calibri" w:cs="Calibri"/>
                <w:color w:val="000000"/>
                <w:lang w:eastAsia="en-GB"/>
              </w:rPr>
              <w:t>543</w:t>
            </w:r>
            <w:r w:rsidR="00E177C9">
              <w:rPr>
                <w:rFonts w:ascii="Calibri" w:eastAsia="Times New Roman" w:hAnsi="Calibri" w:cs="Calibri"/>
                <w:color w:val="000000"/>
                <w:lang w:eastAsia="en-GB"/>
              </w:rPr>
              <w:t>%</w:t>
            </w:r>
          </w:p>
        </w:tc>
      </w:tr>
      <w:tr w:rsidR="00DC3E17" w:rsidRPr="00DC3E17" w14:paraId="76BBAEB5" w14:textId="77777777" w:rsidTr="00E177C9">
        <w:trPr>
          <w:trHeight w:val="300"/>
        </w:trPr>
        <w:tc>
          <w:tcPr>
            <w:tcW w:w="3381" w:type="dxa"/>
            <w:vMerge/>
            <w:tcBorders>
              <w:top w:val="nil"/>
              <w:left w:val="nil"/>
              <w:bottom w:val="single" w:sz="4" w:space="0" w:color="000000"/>
              <w:right w:val="nil"/>
            </w:tcBorders>
            <w:vAlign w:val="center"/>
            <w:hideMark/>
          </w:tcPr>
          <w:p w14:paraId="58A8877E" w14:textId="77777777" w:rsidR="00DC3E17" w:rsidRPr="00DC3E17" w:rsidRDefault="00DC3E17" w:rsidP="00DC3E17">
            <w:pPr>
              <w:spacing w:after="0" w:line="240" w:lineRule="auto"/>
              <w:rPr>
                <w:rFonts w:ascii="Calibri" w:eastAsia="Times New Roman" w:hAnsi="Calibri" w:cs="Calibri"/>
                <w:color w:val="000000"/>
                <w:lang w:eastAsia="en-GB"/>
              </w:rPr>
            </w:pPr>
          </w:p>
        </w:tc>
        <w:tc>
          <w:tcPr>
            <w:tcW w:w="1228" w:type="dxa"/>
            <w:tcBorders>
              <w:top w:val="nil"/>
              <w:left w:val="nil"/>
              <w:bottom w:val="single" w:sz="4" w:space="0" w:color="auto"/>
              <w:right w:val="nil"/>
            </w:tcBorders>
            <w:shd w:val="clear" w:color="auto" w:fill="auto"/>
            <w:noWrap/>
            <w:vAlign w:val="bottom"/>
            <w:hideMark/>
          </w:tcPr>
          <w:p w14:paraId="5462CBEE" w14:textId="77777777" w:rsidR="00DC3E17" w:rsidRPr="00DC3E17" w:rsidRDefault="00DC3E17" w:rsidP="00346FA8">
            <w:pPr>
              <w:spacing w:after="0" w:line="240" w:lineRule="auto"/>
              <w:jc w:val="center"/>
              <w:rPr>
                <w:rFonts w:ascii="Calibri" w:eastAsia="Times New Roman" w:hAnsi="Calibri" w:cs="Calibri"/>
                <w:color w:val="000000"/>
                <w:sz w:val="18"/>
                <w:szCs w:val="18"/>
                <w:lang w:eastAsia="en-GB"/>
              </w:rPr>
            </w:pPr>
            <w:r w:rsidRPr="00DC3E17">
              <w:rPr>
                <w:rFonts w:ascii="Calibri" w:eastAsia="Times New Roman" w:hAnsi="Calibri" w:cs="Calibri"/>
                <w:color w:val="000000"/>
                <w:sz w:val="18"/>
                <w:szCs w:val="18"/>
                <w:lang w:eastAsia="en-GB"/>
              </w:rPr>
              <w:t>(</w:t>
            </w:r>
            <w:r w:rsidR="00346FA8">
              <w:rPr>
                <w:rFonts w:ascii="Calibri" w:eastAsia="Times New Roman" w:hAnsi="Calibri" w:cs="Calibri"/>
                <w:color w:val="000000"/>
                <w:sz w:val="18"/>
                <w:szCs w:val="18"/>
                <w:lang w:eastAsia="en-GB"/>
              </w:rPr>
              <w:t>Lower</w:t>
            </w:r>
            <w:r w:rsidRPr="00DC3E17">
              <w:rPr>
                <w:rFonts w:ascii="Calibri" w:eastAsia="Times New Roman" w:hAnsi="Calibri" w:cs="Calibri"/>
                <w:color w:val="000000"/>
                <w:sz w:val="18"/>
                <w:szCs w:val="18"/>
                <w:lang w:eastAsia="en-GB"/>
              </w:rPr>
              <w:t>)</w:t>
            </w:r>
          </w:p>
        </w:tc>
        <w:tc>
          <w:tcPr>
            <w:tcW w:w="1439" w:type="dxa"/>
            <w:tcBorders>
              <w:top w:val="nil"/>
              <w:left w:val="nil"/>
              <w:bottom w:val="single" w:sz="4" w:space="0" w:color="auto"/>
              <w:right w:val="nil"/>
            </w:tcBorders>
            <w:shd w:val="clear" w:color="auto" w:fill="auto"/>
            <w:noWrap/>
            <w:vAlign w:val="bottom"/>
            <w:hideMark/>
          </w:tcPr>
          <w:p w14:paraId="6D365D86" w14:textId="77777777" w:rsidR="00DC3E17" w:rsidRPr="00DC3E17" w:rsidRDefault="00DC3E17" w:rsidP="00A0172B">
            <w:pPr>
              <w:spacing w:after="0" w:line="240" w:lineRule="auto"/>
              <w:jc w:val="center"/>
              <w:rPr>
                <w:rFonts w:ascii="Calibri" w:eastAsia="Times New Roman" w:hAnsi="Calibri" w:cs="Calibri"/>
                <w:color w:val="000000"/>
                <w:sz w:val="18"/>
                <w:szCs w:val="18"/>
                <w:lang w:eastAsia="en-GB"/>
              </w:rPr>
            </w:pPr>
            <w:r w:rsidRPr="00DC3E17">
              <w:rPr>
                <w:rFonts w:ascii="Calibri" w:eastAsia="Times New Roman" w:hAnsi="Calibri" w:cs="Calibri"/>
                <w:color w:val="000000"/>
                <w:sz w:val="18"/>
                <w:szCs w:val="18"/>
                <w:lang w:eastAsia="en-GB"/>
              </w:rPr>
              <w:t>(</w:t>
            </w:r>
            <w:r w:rsidR="00A0172B">
              <w:rPr>
                <w:rFonts w:ascii="Calibri" w:eastAsia="Times New Roman" w:hAnsi="Calibri" w:cs="Calibri"/>
                <w:color w:val="000000"/>
                <w:sz w:val="18"/>
                <w:szCs w:val="18"/>
                <w:lang w:eastAsia="en-GB"/>
              </w:rPr>
              <w:t>Higher</w:t>
            </w:r>
            <w:r w:rsidRPr="00DC3E17">
              <w:rPr>
                <w:rFonts w:ascii="Calibri" w:eastAsia="Times New Roman" w:hAnsi="Calibri" w:cs="Calibri"/>
                <w:color w:val="000000"/>
                <w:sz w:val="18"/>
                <w:szCs w:val="18"/>
                <w:lang w:eastAsia="en-GB"/>
              </w:rPr>
              <w:t>)</w:t>
            </w:r>
          </w:p>
        </w:tc>
        <w:tc>
          <w:tcPr>
            <w:tcW w:w="236" w:type="dxa"/>
            <w:tcBorders>
              <w:top w:val="nil"/>
              <w:left w:val="nil"/>
              <w:bottom w:val="nil"/>
              <w:right w:val="nil"/>
            </w:tcBorders>
            <w:shd w:val="clear" w:color="auto" w:fill="auto"/>
            <w:noWrap/>
            <w:vAlign w:val="bottom"/>
            <w:hideMark/>
          </w:tcPr>
          <w:p w14:paraId="59AEC561" w14:textId="77777777" w:rsidR="00DC3E17" w:rsidRPr="00DC3E17" w:rsidRDefault="00DC3E17" w:rsidP="00DC3E17">
            <w:pPr>
              <w:spacing w:after="0" w:line="240" w:lineRule="auto"/>
              <w:jc w:val="center"/>
              <w:rPr>
                <w:rFonts w:ascii="Calibri" w:eastAsia="Times New Roman" w:hAnsi="Calibri" w:cs="Calibri"/>
                <w:color w:val="000000"/>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14:paraId="20D70311" w14:textId="77777777" w:rsidR="00DC3E17" w:rsidRPr="00DC3E17" w:rsidRDefault="00DC3E17" w:rsidP="00DC3E17">
            <w:pPr>
              <w:spacing w:after="0" w:line="240" w:lineRule="auto"/>
              <w:jc w:val="center"/>
              <w:rPr>
                <w:rFonts w:ascii="Calibri" w:eastAsia="Times New Roman" w:hAnsi="Calibri" w:cs="Calibri"/>
                <w:color w:val="000000"/>
                <w:sz w:val="18"/>
                <w:szCs w:val="18"/>
                <w:lang w:eastAsia="en-GB"/>
              </w:rPr>
            </w:pPr>
            <w:r w:rsidRPr="00DC3E17">
              <w:rPr>
                <w:rFonts w:ascii="Calibri" w:eastAsia="Times New Roman" w:hAnsi="Calibri" w:cs="Calibri"/>
                <w:color w:val="000000"/>
                <w:sz w:val="18"/>
                <w:szCs w:val="18"/>
                <w:lang w:eastAsia="en-GB"/>
              </w:rPr>
              <w:t>(Higher)</w:t>
            </w:r>
          </w:p>
        </w:tc>
        <w:tc>
          <w:tcPr>
            <w:tcW w:w="1031" w:type="dxa"/>
            <w:tcBorders>
              <w:top w:val="nil"/>
              <w:left w:val="nil"/>
              <w:bottom w:val="single" w:sz="4" w:space="0" w:color="auto"/>
              <w:right w:val="nil"/>
            </w:tcBorders>
            <w:shd w:val="clear" w:color="auto" w:fill="auto"/>
            <w:noWrap/>
            <w:vAlign w:val="bottom"/>
            <w:hideMark/>
          </w:tcPr>
          <w:p w14:paraId="739D5B12" w14:textId="77777777" w:rsidR="00DC3E17" w:rsidRPr="00DC3E17" w:rsidRDefault="00DC3E17" w:rsidP="00DC3E17">
            <w:pPr>
              <w:spacing w:after="0" w:line="240" w:lineRule="auto"/>
              <w:jc w:val="center"/>
              <w:rPr>
                <w:rFonts w:ascii="Calibri" w:eastAsia="Times New Roman" w:hAnsi="Calibri" w:cs="Calibri"/>
                <w:color w:val="000000"/>
                <w:sz w:val="18"/>
                <w:szCs w:val="18"/>
                <w:lang w:eastAsia="en-GB"/>
              </w:rPr>
            </w:pPr>
            <w:r w:rsidRPr="00DC3E17">
              <w:rPr>
                <w:rFonts w:ascii="Calibri" w:eastAsia="Times New Roman" w:hAnsi="Calibri" w:cs="Calibri"/>
                <w:color w:val="000000"/>
                <w:sz w:val="18"/>
                <w:szCs w:val="18"/>
                <w:lang w:eastAsia="en-GB"/>
              </w:rPr>
              <w:t>(Higher)</w:t>
            </w:r>
          </w:p>
        </w:tc>
      </w:tr>
    </w:tbl>
    <w:p w14:paraId="192A489F" w14:textId="77777777" w:rsidR="000A2A25" w:rsidRDefault="000A2A25" w:rsidP="00A525B2">
      <w:pPr>
        <w:tabs>
          <w:tab w:val="center" w:pos="4513"/>
        </w:tabs>
        <w:jc w:val="both"/>
      </w:pPr>
    </w:p>
    <w:p w14:paraId="0630C0C6" w14:textId="77777777" w:rsidR="00E77E9C" w:rsidRDefault="003839F8" w:rsidP="00A525B2">
      <w:pPr>
        <w:tabs>
          <w:tab w:val="center" w:pos="4513"/>
        </w:tabs>
        <w:jc w:val="both"/>
      </w:pPr>
      <w:r>
        <w:t xml:space="preserve">We operate a transparent basic salary and variable pay framework that is applied irrespectively of gender, guaranteeing equal pay </w:t>
      </w:r>
      <w:r w:rsidR="00E77E9C">
        <w:t>for doing equivalent jobs</w:t>
      </w:r>
      <w:r w:rsidR="00E77E9C" w:rsidRPr="00E77E9C">
        <w:t xml:space="preserve"> </w:t>
      </w:r>
      <w:r w:rsidR="00E77E9C">
        <w:t>across the organisation</w:t>
      </w:r>
      <w:r>
        <w:t xml:space="preserve">. </w:t>
      </w:r>
    </w:p>
    <w:p w14:paraId="17602A93" w14:textId="77777777" w:rsidR="009C36D8" w:rsidRDefault="003839F8" w:rsidP="00A525B2">
      <w:pPr>
        <w:tabs>
          <w:tab w:val="center" w:pos="4513"/>
        </w:tabs>
        <w:jc w:val="both"/>
      </w:pPr>
      <w:r>
        <w:t>However</w:t>
      </w:r>
      <w:r w:rsidR="002347B3">
        <w:t>,</w:t>
      </w:r>
      <w:r>
        <w:t xml:space="preserve"> pay gender gap is the difference in average pay between men and women,</w:t>
      </w:r>
      <w:r w:rsidR="00E46EA0">
        <w:t xml:space="preserve"> which in our </w:t>
      </w:r>
      <w:r w:rsidR="00E46EA0" w:rsidRPr="009C36D8">
        <w:t>organisation is 21</w:t>
      </w:r>
      <w:r w:rsidRPr="009C36D8">
        <w:t xml:space="preserve">%. </w:t>
      </w:r>
      <w:r w:rsidR="009C36D8" w:rsidRPr="009C36D8">
        <w:t xml:space="preserve">Our pay gap has increased this year by 3% at both the mean and median level. </w:t>
      </w:r>
      <w:r w:rsidR="009C36D8">
        <w:t xml:space="preserve"> </w:t>
      </w:r>
    </w:p>
    <w:p w14:paraId="5F4DF72F" w14:textId="77777777" w:rsidR="009C36D8" w:rsidRDefault="009C36D8" w:rsidP="00A525B2">
      <w:pPr>
        <w:tabs>
          <w:tab w:val="center" w:pos="4513"/>
        </w:tabs>
        <w:jc w:val="both"/>
      </w:pPr>
      <w:r>
        <w:t xml:space="preserve">Overall, we only have 193 male employees in the business as at 5 April 2019, in comparison to 1,153 female employees.  </w:t>
      </w:r>
      <w:r w:rsidR="003839F8">
        <w:t>The make up of our business -</w:t>
      </w:r>
      <w:r w:rsidR="007D7D70">
        <w:t xml:space="preserve"> </w:t>
      </w:r>
      <w:r w:rsidR="003839F8">
        <w:t>with a significant larger proportion of women in the retail network entitled to annual sales incentives but with lower basic pay and with a higher proportion of</w:t>
      </w:r>
      <w:r w:rsidR="00BB6523">
        <w:t xml:space="preserve"> men</w:t>
      </w:r>
      <w:r w:rsidR="003839F8">
        <w:t xml:space="preserve"> in the IT and Finance functions</w:t>
      </w:r>
      <w:r w:rsidR="0063185F">
        <w:t xml:space="preserve"> </w:t>
      </w:r>
      <w:r w:rsidR="003839F8">
        <w:t xml:space="preserve">- means our average male salary is higher than our average </w:t>
      </w:r>
      <w:r w:rsidR="007D7D70">
        <w:t xml:space="preserve">female </w:t>
      </w:r>
      <w:r w:rsidR="003839F8">
        <w:t>salary</w:t>
      </w:r>
      <w:r>
        <w:t>. Of the males employed at 5 April 2019, 62% worked in the Head Office functions in comparison to 57% in the previous year, which is driving the gap.</w:t>
      </w:r>
    </w:p>
    <w:p w14:paraId="4D109F3D" w14:textId="77777777" w:rsidR="00A0172B" w:rsidRDefault="00A0172B" w:rsidP="00A525B2">
      <w:pPr>
        <w:tabs>
          <w:tab w:val="center" w:pos="4513"/>
        </w:tabs>
        <w:jc w:val="both"/>
      </w:pPr>
      <w:r>
        <w:t xml:space="preserve">Our variable </w:t>
      </w:r>
      <w:r w:rsidR="00BF5F12">
        <w:t>pay structures are linked closely to performance and seniority. All female and male employees benefit from the same bonus schemes and opportunities within our retail business. Our bonus pay gap is reflective of individual performance.</w:t>
      </w:r>
      <w:r>
        <w:tab/>
      </w:r>
    </w:p>
    <w:p w14:paraId="11B9C6D9" w14:textId="77777777" w:rsidR="009C36D8" w:rsidRDefault="009C36D8" w:rsidP="00A525B2">
      <w:pPr>
        <w:tabs>
          <w:tab w:val="center" w:pos="4513"/>
        </w:tabs>
        <w:jc w:val="both"/>
      </w:pPr>
      <w:r>
        <w:t xml:space="preserve">In terms of bonus arrangements, in the year ended 5 April 2019, the Hays Travel Group awarded all staff £100 bonus for every years’ service with the company, irrespective of gender.  </w:t>
      </w:r>
      <w:r w:rsidR="005C5EB7">
        <w:t xml:space="preserve">Overall, during the year, 72% of female employees received bonus and 51% of our male employees. </w:t>
      </w:r>
    </w:p>
    <w:p w14:paraId="1F0E2496" w14:textId="77777777" w:rsidR="00A0587E" w:rsidRDefault="00A0587E" w:rsidP="00A525B2">
      <w:pPr>
        <w:tabs>
          <w:tab w:val="center" w:pos="4513"/>
        </w:tabs>
        <w:jc w:val="both"/>
      </w:pPr>
    </w:p>
    <w:p w14:paraId="7C9E5958" w14:textId="77777777" w:rsidR="00A0587E" w:rsidRDefault="00346FA8" w:rsidP="00E177C9">
      <w:pPr>
        <w:tabs>
          <w:tab w:val="center" w:pos="4513"/>
        </w:tabs>
        <w:jc w:val="center"/>
      </w:pPr>
      <w:r>
        <w:rPr>
          <w:noProof/>
          <w:lang w:eastAsia="en-GB"/>
        </w:rPr>
        <w:drawing>
          <wp:inline distT="0" distB="0" distL="0" distR="0" wp14:anchorId="78F1A262" wp14:editId="68EF73C6">
            <wp:extent cx="3422650" cy="2089150"/>
            <wp:effectExtent l="0" t="0" r="635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D6706A" w14:textId="77777777" w:rsidR="00E177C9" w:rsidRDefault="00E177C9" w:rsidP="00E177C9">
      <w:pPr>
        <w:tabs>
          <w:tab w:val="center" w:pos="4513"/>
        </w:tabs>
        <w:jc w:val="center"/>
      </w:pPr>
    </w:p>
    <w:p w14:paraId="7AA37EA0" w14:textId="77777777" w:rsidR="005C5EB7" w:rsidRDefault="005C5EB7" w:rsidP="00A525B2">
      <w:pPr>
        <w:tabs>
          <w:tab w:val="center" w:pos="4513"/>
        </w:tabs>
        <w:jc w:val="both"/>
        <w:rPr>
          <w:b/>
        </w:rPr>
      </w:pPr>
    </w:p>
    <w:p w14:paraId="6D3DC472" w14:textId="77777777" w:rsidR="00BB6523" w:rsidRPr="00BB6523" w:rsidRDefault="00BB6523" w:rsidP="00A525B2">
      <w:pPr>
        <w:tabs>
          <w:tab w:val="center" w:pos="4513"/>
        </w:tabs>
        <w:jc w:val="both"/>
        <w:rPr>
          <w:b/>
        </w:rPr>
      </w:pPr>
      <w:r w:rsidRPr="00BB6523">
        <w:rPr>
          <w:b/>
        </w:rPr>
        <w:t>Understanding our pay gap</w:t>
      </w:r>
    </w:p>
    <w:p w14:paraId="75A64139" w14:textId="77777777" w:rsidR="00BB6523" w:rsidRDefault="00BB6523" w:rsidP="00A525B2">
      <w:pPr>
        <w:tabs>
          <w:tab w:val="center" w:pos="4513"/>
        </w:tabs>
        <w:jc w:val="both"/>
      </w:pPr>
      <w:r>
        <w:t>To understand what drives our pay gap</w:t>
      </w:r>
      <w:r w:rsidR="0021375F">
        <w:t>,</w:t>
      </w:r>
      <w:r>
        <w:t xml:space="preserve"> it is important to analyse by pay quartiles as set out by the Government Equalities Office. This allows us to assess in particular whether women are over- represented in lower earning roles and men within higher earning roles.</w:t>
      </w:r>
    </w:p>
    <w:p w14:paraId="062112A2" w14:textId="77777777" w:rsidR="00BB6523" w:rsidRDefault="00BB6523" w:rsidP="00E177C9">
      <w:pPr>
        <w:tabs>
          <w:tab w:val="center" w:pos="4513"/>
        </w:tabs>
        <w:ind w:left="720"/>
        <w:jc w:val="both"/>
      </w:pPr>
      <w:r>
        <w:t xml:space="preserve"> </w:t>
      </w:r>
      <w:r w:rsidR="00E46EA0">
        <w:rPr>
          <w:noProof/>
          <w:lang w:eastAsia="en-GB"/>
        </w:rPr>
        <w:drawing>
          <wp:inline distT="0" distB="0" distL="0" distR="0" wp14:anchorId="45395B9B" wp14:editId="447C19A2">
            <wp:extent cx="4375150" cy="2819400"/>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D48C1F" w14:textId="77777777" w:rsidR="00E177C9" w:rsidRDefault="00E177C9" w:rsidP="00E177C9">
      <w:pPr>
        <w:tabs>
          <w:tab w:val="center" w:pos="4513"/>
        </w:tabs>
        <w:ind w:left="720"/>
        <w:jc w:val="both"/>
      </w:pPr>
    </w:p>
    <w:p w14:paraId="1E104EBD" w14:textId="77777777" w:rsidR="00973261" w:rsidRDefault="00BB6523" w:rsidP="00BB6523">
      <w:pPr>
        <w:tabs>
          <w:tab w:val="center" w:pos="4513"/>
        </w:tabs>
        <w:jc w:val="both"/>
      </w:pPr>
      <w:r>
        <w:t>In all our pay quartiles the balance of workforce is quite similar</w:t>
      </w:r>
      <w:r w:rsidR="00973261">
        <w:t xml:space="preserve"> in favour of the women. Only</w:t>
      </w:r>
      <w:r>
        <w:t xml:space="preserve"> </w:t>
      </w:r>
      <w:r w:rsidR="00973261">
        <w:t xml:space="preserve">in </w:t>
      </w:r>
      <w:r>
        <w:t>the up</w:t>
      </w:r>
      <w:r w:rsidR="00973261">
        <w:t>per quartile male representation arrives at 2</w:t>
      </w:r>
      <w:r w:rsidR="00675122">
        <w:t>4</w:t>
      </w:r>
      <w:r w:rsidR="002347B3">
        <w:t>% and pay gap is 16</w:t>
      </w:r>
      <w:r w:rsidR="00973261">
        <w:t>%.</w:t>
      </w:r>
    </w:p>
    <w:tbl>
      <w:tblPr>
        <w:tblW w:w="8992" w:type="dxa"/>
        <w:tblLook w:val="04A0" w:firstRow="1" w:lastRow="0" w:firstColumn="1" w:lastColumn="0" w:noHBand="0" w:noVBand="1"/>
      </w:tblPr>
      <w:tblGrid>
        <w:gridCol w:w="4111"/>
        <w:gridCol w:w="1276"/>
        <w:gridCol w:w="1417"/>
        <w:gridCol w:w="1316"/>
        <w:gridCol w:w="872"/>
      </w:tblGrid>
      <w:tr w:rsidR="00D8650C" w:rsidRPr="00D8650C" w14:paraId="0BD99E32" w14:textId="77777777" w:rsidTr="00D8650C">
        <w:trPr>
          <w:trHeight w:val="450"/>
        </w:trPr>
        <w:tc>
          <w:tcPr>
            <w:tcW w:w="4111" w:type="dxa"/>
            <w:vMerge w:val="restart"/>
            <w:tcBorders>
              <w:top w:val="nil"/>
              <w:left w:val="nil"/>
              <w:bottom w:val="nil"/>
              <w:right w:val="nil"/>
            </w:tcBorders>
            <w:shd w:val="clear" w:color="auto" w:fill="auto"/>
            <w:vAlign w:val="center"/>
            <w:hideMark/>
          </w:tcPr>
          <w:p w14:paraId="72A97B74" w14:textId="77777777" w:rsidR="00D8650C" w:rsidRPr="00D8650C" w:rsidRDefault="00973261" w:rsidP="00D8650C">
            <w:pPr>
              <w:spacing w:after="0" w:line="240" w:lineRule="auto"/>
              <w:ind w:firstLineChars="200" w:firstLine="440"/>
              <w:rPr>
                <w:rFonts w:ascii="Calibri" w:eastAsia="Times New Roman" w:hAnsi="Calibri" w:cs="Calibri"/>
                <w:color w:val="000000"/>
                <w:sz w:val="20"/>
                <w:szCs w:val="20"/>
                <w:lang w:eastAsia="en-GB"/>
              </w:rPr>
            </w:pPr>
            <w:r>
              <w:t xml:space="preserve">  </w:t>
            </w:r>
            <w:r w:rsidR="00D8650C" w:rsidRPr="00D8650C">
              <w:rPr>
                <w:rFonts w:ascii="Calibri" w:eastAsia="Times New Roman" w:hAnsi="Calibri" w:cs="Calibri"/>
                <w:color w:val="000000"/>
                <w:sz w:val="20"/>
                <w:szCs w:val="20"/>
                <w:lang w:eastAsia="en-GB"/>
              </w:rPr>
              <w:t>Differences between male and female</w:t>
            </w:r>
          </w:p>
        </w:tc>
        <w:tc>
          <w:tcPr>
            <w:tcW w:w="1276" w:type="dxa"/>
            <w:vMerge w:val="restart"/>
            <w:tcBorders>
              <w:top w:val="nil"/>
              <w:left w:val="nil"/>
              <w:bottom w:val="single" w:sz="4" w:space="0" w:color="000000"/>
              <w:right w:val="nil"/>
            </w:tcBorders>
            <w:shd w:val="clear" w:color="auto" w:fill="auto"/>
            <w:vAlign w:val="center"/>
            <w:hideMark/>
          </w:tcPr>
          <w:p w14:paraId="6AF20654" w14:textId="77777777" w:rsidR="00D8650C" w:rsidRPr="00D8650C" w:rsidRDefault="00D8650C" w:rsidP="00D8650C">
            <w:pPr>
              <w:spacing w:after="0" w:line="240" w:lineRule="auto"/>
              <w:jc w:val="center"/>
              <w:rPr>
                <w:rFonts w:ascii="Calibri" w:eastAsia="Times New Roman" w:hAnsi="Calibri" w:cs="Calibri"/>
                <w:b/>
                <w:bCs/>
                <w:color w:val="000000"/>
                <w:lang w:eastAsia="en-GB"/>
              </w:rPr>
            </w:pPr>
            <w:r w:rsidRPr="00D8650C">
              <w:rPr>
                <w:rFonts w:ascii="Calibri" w:eastAsia="Times New Roman" w:hAnsi="Calibri" w:cs="Calibri"/>
                <w:b/>
                <w:bCs/>
                <w:color w:val="000000"/>
                <w:lang w:eastAsia="en-GB"/>
              </w:rPr>
              <w:t>Lower</w:t>
            </w:r>
          </w:p>
        </w:tc>
        <w:tc>
          <w:tcPr>
            <w:tcW w:w="1417" w:type="dxa"/>
            <w:vMerge w:val="restart"/>
            <w:tcBorders>
              <w:top w:val="nil"/>
              <w:left w:val="nil"/>
              <w:bottom w:val="single" w:sz="4" w:space="0" w:color="000000"/>
              <w:right w:val="nil"/>
            </w:tcBorders>
            <w:shd w:val="clear" w:color="auto" w:fill="auto"/>
            <w:vAlign w:val="center"/>
            <w:hideMark/>
          </w:tcPr>
          <w:p w14:paraId="61E9A1A6" w14:textId="77777777" w:rsidR="00D8650C" w:rsidRPr="00D8650C" w:rsidRDefault="00D8650C" w:rsidP="00D8650C">
            <w:pPr>
              <w:spacing w:after="0" w:line="240" w:lineRule="auto"/>
              <w:jc w:val="center"/>
              <w:rPr>
                <w:rFonts w:ascii="Calibri" w:eastAsia="Times New Roman" w:hAnsi="Calibri" w:cs="Calibri"/>
                <w:b/>
                <w:bCs/>
                <w:color w:val="000000"/>
                <w:lang w:eastAsia="en-GB"/>
              </w:rPr>
            </w:pPr>
            <w:r w:rsidRPr="00D8650C">
              <w:rPr>
                <w:rFonts w:ascii="Calibri" w:eastAsia="Times New Roman" w:hAnsi="Calibri" w:cs="Calibri"/>
                <w:b/>
                <w:bCs/>
                <w:color w:val="000000"/>
                <w:lang w:eastAsia="en-GB"/>
              </w:rPr>
              <w:t>Lower Middle</w:t>
            </w:r>
          </w:p>
        </w:tc>
        <w:tc>
          <w:tcPr>
            <w:tcW w:w="1316" w:type="dxa"/>
            <w:vMerge w:val="restart"/>
            <w:tcBorders>
              <w:top w:val="nil"/>
              <w:left w:val="nil"/>
              <w:bottom w:val="single" w:sz="4" w:space="0" w:color="000000"/>
              <w:right w:val="nil"/>
            </w:tcBorders>
            <w:shd w:val="clear" w:color="auto" w:fill="auto"/>
            <w:vAlign w:val="center"/>
            <w:hideMark/>
          </w:tcPr>
          <w:p w14:paraId="5AEB551D" w14:textId="77777777" w:rsidR="00D8650C" w:rsidRPr="00D8650C" w:rsidRDefault="00D8650C" w:rsidP="00D8650C">
            <w:pPr>
              <w:spacing w:after="0" w:line="240" w:lineRule="auto"/>
              <w:jc w:val="center"/>
              <w:rPr>
                <w:rFonts w:ascii="Calibri" w:eastAsia="Times New Roman" w:hAnsi="Calibri" w:cs="Calibri"/>
                <w:b/>
                <w:bCs/>
                <w:color w:val="000000"/>
                <w:lang w:eastAsia="en-GB"/>
              </w:rPr>
            </w:pPr>
            <w:r w:rsidRPr="00D8650C">
              <w:rPr>
                <w:rFonts w:ascii="Calibri" w:eastAsia="Times New Roman" w:hAnsi="Calibri" w:cs="Calibri"/>
                <w:b/>
                <w:bCs/>
                <w:color w:val="000000"/>
                <w:lang w:eastAsia="en-GB"/>
              </w:rPr>
              <w:t>Upper Middle</w:t>
            </w:r>
          </w:p>
        </w:tc>
        <w:tc>
          <w:tcPr>
            <w:tcW w:w="872" w:type="dxa"/>
            <w:vMerge w:val="restart"/>
            <w:tcBorders>
              <w:top w:val="nil"/>
              <w:left w:val="nil"/>
              <w:bottom w:val="single" w:sz="4" w:space="0" w:color="000000"/>
              <w:right w:val="nil"/>
            </w:tcBorders>
            <w:shd w:val="clear" w:color="auto" w:fill="auto"/>
            <w:vAlign w:val="center"/>
            <w:hideMark/>
          </w:tcPr>
          <w:p w14:paraId="112D2463" w14:textId="77777777" w:rsidR="00D8650C" w:rsidRPr="00D8650C" w:rsidRDefault="00D8650C" w:rsidP="00D8650C">
            <w:pPr>
              <w:spacing w:after="0" w:line="240" w:lineRule="auto"/>
              <w:jc w:val="center"/>
              <w:rPr>
                <w:rFonts w:ascii="Calibri" w:eastAsia="Times New Roman" w:hAnsi="Calibri" w:cs="Calibri"/>
                <w:b/>
                <w:bCs/>
                <w:color w:val="000000"/>
                <w:lang w:eastAsia="en-GB"/>
              </w:rPr>
            </w:pPr>
            <w:r w:rsidRPr="00D8650C">
              <w:rPr>
                <w:rFonts w:ascii="Calibri" w:eastAsia="Times New Roman" w:hAnsi="Calibri" w:cs="Calibri"/>
                <w:b/>
                <w:bCs/>
                <w:color w:val="000000"/>
                <w:lang w:eastAsia="en-GB"/>
              </w:rPr>
              <w:t>Upper</w:t>
            </w:r>
          </w:p>
        </w:tc>
      </w:tr>
      <w:tr w:rsidR="00D8650C" w:rsidRPr="00D8650C" w14:paraId="4A83B9D3" w14:textId="77777777" w:rsidTr="00D8650C">
        <w:trPr>
          <w:trHeight w:val="450"/>
        </w:trPr>
        <w:tc>
          <w:tcPr>
            <w:tcW w:w="4111" w:type="dxa"/>
            <w:vMerge/>
            <w:tcBorders>
              <w:top w:val="nil"/>
              <w:left w:val="nil"/>
              <w:bottom w:val="nil"/>
              <w:right w:val="nil"/>
            </w:tcBorders>
            <w:vAlign w:val="center"/>
            <w:hideMark/>
          </w:tcPr>
          <w:p w14:paraId="3696886E" w14:textId="77777777" w:rsidR="00D8650C" w:rsidRPr="00D8650C" w:rsidRDefault="00D8650C" w:rsidP="00D8650C">
            <w:pPr>
              <w:spacing w:after="0" w:line="240" w:lineRule="auto"/>
              <w:rPr>
                <w:rFonts w:ascii="Calibri" w:eastAsia="Times New Roman" w:hAnsi="Calibri" w:cs="Calibri"/>
                <w:color w:val="000000"/>
                <w:sz w:val="20"/>
                <w:szCs w:val="20"/>
                <w:lang w:eastAsia="en-GB"/>
              </w:rPr>
            </w:pPr>
          </w:p>
        </w:tc>
        <w:tc>
          <w:tcPr>
            <w:tcW w:w="1276" w:type="dxa"/>
            <w:vMerge/>
            <w:tcBorders>
              <w:top w:val="nil"/>
              <w:left w:val="nil"/>
              <w:bottom w:val="single" w:sz="4" w:space="0" w:color="000000"/>
              <w:right w:val="nil"/>
            </w:tcBorders>
            <w:vAlign w:val="center"/>
            <w:hideMark/>
          </w:tcPr>
          <w:p w14:paraId="47FCBA81" w14:textId="77777777" w:rsidR="00D8650C" w:rsidRPr="00D8650C" w:rsidRDefault="00D8650C" w:rsidP="00D8650C">
            <w:pPr>
              <w:spacing w:after="0" w:line="240" w:lineRule="auto"/>
              <w:rPr>
                <w:rFonts w:ascii="Calibri" w:eastAsia="Times New Roman" w:hAnsi="Calibri" w:cs="Calibri"/>
                <w:b/>
                <w:bCs/>
                <w:color w:val="000000"/>
                <w:lang w:eastAsia="en-GB"/>
              </w:rPr>
            </w:pPr>
          </w:p>
        </w:tc>
        <w:tc>
          <w:tcPr>
            <w:tcW w:w="1417" w:type="dxa"/>
            <w:vMerge/>
            <w:tcBorders>
              <w:top w:val="nil"/>
              <w:left w:val="nil"/>
              <w:bottom w:val="single" w:sz="4" w:space="0" w:color="000000"/>
              <w:right w:val="nil"/>
            </w:tcBorders>
            <w:vAlign w:val="center"/>
            <w:hideMark/>
          </w:tcPr>
          <w:p w14:paraId="458BB8D6" w14:textId="77777777" w:rsidR="00D8650C" w:rsidRPr="00D8650C" w:rsidRDefault="00D8650C" w:rsidP="00D8650C">
            <w:pPr>
              <w:spacing w:after="0" w:line="240" w:lineRule="auto"/>
              <w:rPr>
                <w:rFonts w:ascii="Calibri" w:eastAsia="Times New Roman" w:hAnsi="Calibri" w:cs="Calibri"/>
                <w:b/>
                <w:bCs/>
                <w:color w:val="000000"/>
                <w:lang w:eastAsia="en-GB"/>
              </w:rPr>
            </w:pPr>
          </w:p>
        </w:tc>
        <w:tc>
          <w:tcPr>
            <w:tcW w:w="1316" w:type="dxa"/>
            <w:vMerge/>
            <w:tcBorders>
              <w:top w:val="nil"/>
              <w:left w:val="nil"/>
              <w:bottom w:val="single" w:sz="4" w:space="0" w:color="000000"/>
              <w:right w:val="nil"/>
            </w:tcBorders>
            <w:vAlign w:val="center"/>
            <w:hideMark/>
          </w:tcPr>
          <w:p w14:paraId="1C3EB8A5" w14:textId="77777777" w:rsidR="00D8650C" w:rsidRPr="00D8650C" w:rsidRDefault="00D8650C" w:rsidP="00D8650C">
            <w:pPr>
              <w:spacing w:after="0" w:line="240" w:lineRule="auto"/>
              <w:rPr>
                <w:rFonts w:ascii="Calibri" w:eastAsia="Times New Roman" w:hAnsi="Calibri" w:cs="Calibri"/>
                <w:b/>
                <w:bCs/>
                <w:color w:val="000000"/>
                <w:lang w:eastAsia="en-GB"/>
              </w:rPr>
            </w:pPr>
          </w:p>
        </w:tc>
        <w:tc>
          <w:tcPr>
            <w:tcW w:w="872" w:type="dxa"/>
            <w:vMerge/>
            <w:tcBorders>
              <w:top w:val="nil"/>
              <w:left w:val="nil"/>
              <w:bottom w:val="single" w:sz="4" w:space="0" w:color="000000"/>
              <w:right w:val="nil"/>
            </w:tcBorders>
            <w:vAlign w:val="center"/>
            <w:hideMark/>
          </w:tcPr>
          <w:p w14:paraId="2D3E4FAF" w14:textId="77777777" w:rsidR="00D8650C" w:rsidRPr="00D8650C" w:rsidRDefault="00D8650C" w:rsidP="00D8650C">
            <w:pPr>
              <w:spacing w:after="0" w:line="240" w:lineRule="auto"/>
              <w:rPr>
                <w:rFonts w:ascii="Calibri" w:eastAsia="Times New Roman" w:hAnsi="Calibri" w:cs="Calibri"/>
                <w:b/>
                <w:bCs/>
                <w:color w:val="000000"/>
                <w:lang w:eastAsia="en-GB"/>
              </w:rPr>
            </w:pPr>
          </w:p>
        </w:tc>
      </w:tr>
      <w:tr w:rsidR="00D8650C" w:rsidRPr="00D8650C" w14:paraId="4B5B6EA6" w14:textId="77777777" w:rsidTr="00D8650C">
        <w:trPr>
          <w:trHeight w:val="251"/>
        </w:trPr>
        <w:tc>
          <w:tcPr>
            <w:tcW w:w="4111" w:type="dxa"/>
            <w:vMerge w:val="restart"/>
            <w:tcBorders>
              <w:top w:val="single" w:sz="4" w:space="0" w:color="auto"/>
              <w:left w:val="nil"/>
              <w:bottom w:val="single" w:sz="4" w:space="0" w:color="000000"/>
              <w:right w:val="nil"/>
            </w:tcBorders>
            <w:shd w:val="clear" w:color="auto" w:fill="auto"/>
            <w:vAlign w:val="center"/>
            <w:hideMark/>
          </w:tcPr>
          <w:p w14:paraId="3A7CB7E8" w14:textId="77777777" w:rsidR="00D8650C" w:rsidRPr="00D8650C" w:rsidRDefault="00D8650C" w:rsidP="00D8650C">
            <w:pPr>
              <w:spacing w:after="0" w:line="240" w:lineRule="auto"/>
              <w:ind w:firstLineChars="200" w:firstLine="440"/>
              <w:rPr>
                <w:rFonts w:ascii="Calibri" w:eastAsia="Times New Roman" w:hAnsi="Calibri" w:cs="Calibri"/>
                <w:color w:val="000000"/>
                <w:lang w:eastAsia="en-GB"/>
              </w:rPr>
            </w:pPr>
            <w:r w:rsidRPr="00D8650C">
              <w:rPr>
                <w:rFonts w:ascii="Calibri" w:eastAsia="Times New Roman" w:hAnsi="Calibri" w:cs="Calibri"/>
                <w:color w:val="000000"/>
                <w:lang w:eastAsia="en-GB"/>
              </w:rPr>
              <w:t>Mean Gap</w:t>
            </w:r>
          </w:p>
        </w:tc>
        <w:tc>
          <w:tcPr>
            <w:tcW w:w="1276" w:type="dxa"/>
            <w:tcBorders>
              <w:top w:val="nil"/>
              <w:left w:val="nil"/>
              <w:bottom w:val="nil"/>
              <w:right w:val="nil"/>
            </w:tcBorders>
            <w:shd w:val="clear" w:color="auto" w:fill="auto"/>
            <w:noWrap/>
            <w:vAlign w:val="bottom"/>
            <w:hideMark/>
          </w:tcPr>
          <w:p w14:paraId="5DA81A78" w14:textId="77777777" w:rsidR="00D8650C" w:rsidRPr="00D8650C" w:rsidRDefault="00E46EA0" w:rsidP="00D865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r w:rsidR="00D8650C" w:rsidRPr="00D8650C">
              <w:rPr>
                <w:rFonts w:ascii="Calibri" w:eastAsia="Times New Roman" w:hAnsi="Calibri" w:cs="Calibri"/>
                <w:color w:val="000000"/>
                <w:lang w:eastAsia="en-GB"/>
              </w:rPr>
              <w:t>%</w:t>
            </w:r>
          </w:p>
        </w:tc>
        <w:tc>
          <w:tcPr>
            <w:tcW w:w="1417" w:type="dxa"/>
            <w:tcBorders>
              <w:top w:val="nil"/>
              <w:left w:val="nil"/>
              <w:bottom w:val="nil"/>
              <w:right w:val="nil"/>
            </w:tcBorders>
            <w:shd w:val="clear" w:color="auto" w:fill="auto"/>
            <w:noWrap/>
            <w:vAlign w:val="bottom"/>
            <w:hideMark/>
          </w:tcPr>
          <w:p w14:paraId="150C499C" w14:textId="77777777" w:rsidR="00D8650C" w:rsidRPr="00D8650C" w:rsidRDefault="00E46EA0" w:rsidP="00D865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00D8650C" w:rsidRPr="00D8650C">
              <w:rPr>
                <w:rFonts w:ascii="Calibri" w:eastAsia="Times New Roman" w:hAnsi="Calibri" w:cs="Calibri"/>
                <w:color w:val="000000"/>
                <w:lang w:eastAsia="en-GB"/>
              </w:rPr>
              <w:t>%</w:t>
            </w:r>
          </w:p>
        </w:tc>
        <w:tc>
          <w:tcPr>
            <w:tcW w:w="1316" w:type="dxa"/>
            <w:tcBorders>
              <w:top w:val="nil"/>
              <w:left w:val="nil"/>
              <w:bottom w:val="nil"/>
              <w:right w:val="nil"/>
            </w:tcBorders>
            <w:shd w:val="clear" w:color="auto" w:fill="auto"/>
            <w:noWrap/>
            <w:vAlign w:val="bottom"/>
            <w:hideMark/>
          </w:tcPr>
          <w:p w14:paraId="13709B40" w14:textId="77777777" w:rsidR="00D8650C" w:rsidRPr="00D8650C" w:rsidRDefault="00D8650C" w:rsidP="00D8650C">
            <w:pPr>
              <w:spacing w:after="0" w:line="240" w:lineRule="auto"/>
              <w:jc w:val="center"/>
              <w:rPr>
                <w:rFonts w:ascii="Calibri" w:eastAsia="Times New Roman" w:hAnsi="Calibri" w:cs="Calibri"/>
                <w:color w:val="000000"/>
                <w:lang w:eastAsia="en-GB"/>
              </w:rPr>
            </w:pPr>
            <w:r w:rsidRPr="00D8650C">
              <w:rPr>
                <w:rFonts w:ascii="Calibri" w:eastAsia="Times New Roman" w:hAnsi="Calibri" w:cs="Calibri"/>
                <w:color w:val="000000"/>
                <w:lang w:eastAsia="en-GB"/>
              </w:rPr>
              <w:t>1%</w:t>
            </w:r>
          </w:p>
        </w:tc>
        <w:tc>
          <w:tcPr>
            <w:tcW w:w="872" w:type="dxa"/>
            <w:tcBorders>
              <w:top w:val="nil"/>
              <w:left w:val="nil"/>
              <w:bottom w:val="nil"/>
              <w:right w:val="nil"/>
            </w:tcBorders>
            <w:shd w:val="clear" w:color="auto" w:fill="auto"/>
            <w:noWrap/>
            <w:vAlign w:val="bottom"/>
            <w:hideMark/>
          </w:tcPr>
          <w:p w14:paraId="620094DB" w14:textId="77777777" w:rsidR="00D8650C" w:rsidRPr="00D8650C" w:rsidRDefault="00D8650C" w:rsidP="00D8650C">
            <w:pPr>
              <w:spacing w:after="0" w:line="240" w:lineRule="auto"/>
              <w:jc w:val="center"/>
              <w:rPr>
                <w:rFonts w:ascii="Calibri" w:eastAsia="Times New Roman" w:hAnsi="Calibri" w:cs="Calibri"/>
                <w:color w:val="000000"/>
                <w:lang w:eastAsia="en-GB"/>
              </w:rPr>
            </w:pPr>
            <w:r w:rsidRPr="00D8650C">
              <w:rPr>
                <w:rFonts w:ascii="Calibri" w:eastAsia="Times New Roman" w:hAnsi="Calibri" w:cs="Calibri"/>
                <w:color w:val="000000"/>
                <w:lang w:eastAsia="en-GB"/>
              </w:rPr>
              <w:t>16%</w:t>
            </w:r>
          </w:p>
        </w:tc>
      </w:tr>
      <w:tr w:rsidR="00D8650C" w:rsidRPr="00D8650C" w14:paraId="2B7247AA" w14:textId="77777777" w:rsidTr="00D8650C">
        <w:trPr>
          <w:trHeight w:val="251"/>
        </w:trPr>
        <w:tc>
          <w:tcPr>
            <w:tcW w:w="4111" w:type="dxa"/>
            <w:vMerge/>
            <w:tcBorders>
              <w:top w:val="single" w:sz="4" w:space="0" w:color="auto"/>
              <w:left w:val="nil"/>
              <w:bottom w:val="single" w:sz="4" w:space="0" w:color="000000"/>
              <w:right w:val="nil"/>
            </w:tcBorders>
            <w:vAlign w:val="center"/>
            <w:hideMark/>
          </w:tcPr>
          <w:p w14:paraId="0DB0AF06" w14:textId="77777777" w:rsidR="00D8650C" w:rsidRPr="00D8650C" w:rsidRDefault="00D8650C" w:rsidP="00D8650C">
            <w:pPr>
              <w:spacing w:after="0" w:line="240" w:lineRule="auto"/>
              <w:rPr>
                <w:rFonts w:ascii="Calibri" w:eastAsia="Times New Roman" w:hAnsi="Calibri" w:cs="Calibri"/>
                <w:color w:val="000000"/>
                <w:lang w:eastAsia="en-GB"/>
              </w:rPr>
            </w:pPr>
          </w:p>
        </w:tc>
        <w:tc>
          <w:tcPr>
            <w:tcW w:w="1276" w:type="dxa"/>
            <w:tcBorders>
              <w:top w:val="nil"/>
              <w:left w:val="nil"/>
              <w:bottom w:val="single" w:sz="4" w:space="0" w:color="auto"/>
              <w:right w:val="nil"/>
            </w:tcBorders>
            <w:shd w:val="clear" w:color="auto" w:fill="auto"/>
            <w:noWrap/>
            <w:vAlign w:val="bottom"/>
            <w:hideMark/>
          </w:tcPr>
          <w:p w14:paraId="4E372F0D" w14:textId="77777777" w:rsidR="00D8650C" w:rsidRPr="00D8650C" w:rsidRDefault="00D8650C" w:rsidP="00D8650C">
            <w:pPr>
              <w:spacing w:after="0" w:line="240" w:lineRule="auto"/>
              <w:jc w:val="center"/>
              <w:rPr>
                <w:rFonts w:ascii="Calibri" w:eastAsia="Times New Roman" w:hAnsi="Calibri" w:cs="Calibri"/>
                <w:color w:val="000000"/>
                <w:sz w:val="18"/>
                <w:szCs w:val="18"/>
                <w:lang w:eastAsia="en-GB"/>
              </w:rPr>
            </w:pPr>
            <w:r w:rsidRPr="00D8650C">
              <w:rPr>
                <w:rFonts w:ascii="Calibri" w:eastAsia="Times New Roman" w:hAnsi="Calibri" w:cs="Calibri"/>
                <w:color w:val="000000"/>
                <w:sz w:val="18"/>
                <w:szCs w:val="18"/>
                <w:lang w:eastAsia="en-GB"/>
              </w:rPr>
              <w:t>(Lower)</w:t>
            </w:r>
          </w:p>
        </w:tc>
        <w:tc>
          <w:tcPr>
            <w:tcW w:w="1417" w:type="dxa"/>
            <w:tcBorders>
              <w:top w:val="nil"/>
              <w:left w:val="nil"/>
              <w:bottom w:val="single" w:sz="4" w:space="0" w:color="auto"/>
              <w:right w:val="nil"/>
            </w:tcBorders>
            <w:shd w:val="clear" w:color="auto" w:fill="auto"/>
            <w:noWrap/>
            <w:vAlign w:val="bottom"/>
            <w:hideMark/>
          </w:tcPr>
          <w:p w14:paraId="3614F691" w14:textId="77777777" w:rsidR="00D8650C" w:rsidRPr="00D8650C" w:rsidRDefault="00D8650C" w:rsidP="00D8650C">
            <w:pPr>
              <w:spacing w:after="0" w:line="240" w:lineRule="auto"/>
              <w:jc w:val="center"/>
              <w:rPr>
                <w:rFonts w:ascii="Calibri" w:eastAsia="Times New Roman" w:hAnsi="Calibri" w:cs="Calibri"/>
                <w:color w:val="000000"/>
                <w:sz w:val="18"/>
                <w:szCs w:val="18"/>
                <w:lang w:eastAsia="en-GB"/>
              </w:rPr>
            </w:pPr>
            <w:r w:rsidRPr="00D8650C">
              <w:rPr>
                <w:rFonts w:ascii="Calibri" w:eastAsia="Times New Roman" w:hAnsi="Calibri" w:cs="Calibri"/>
                <w:color w:val="000000"/>
                <w:sz w:val="18"/>
                <w:szCs w:val="18"/>
                <w:lang w:eastAsia="en-GB"/>
              </w:rPr>
              <w:t>(Higher)</w:t>
            </w:r>
          </w:p>
        </w:tc>
        <w:tc>
          <w:tcPr>
            <w:tcW w:w="1316" w:type="dxa"/>
            <w:tcBorders>
              <w:top w:val="nil"/>
              <w:left w:val="nil"/>
              <w:bottom w:val="single" w:sz="4" w:space="0" w:color="auto"/>
              <w:right w:val="nil"/>
            </w:tcBorders>
            <w:shd w:val="clear" w:color="auto" w:fill="auto"/>
            <w:noWrap/>
            <w:vAlign w:val="bottom"/>
            <w:hideMark/>
          </w:tcPr>
          <w:p w14:paraId="5D43E148" w14:textId="77777777" w:rsidR="00D8650C" w:rsidRPr="00D8650C" w:rsidRDefault="00D8650C" w:rsidP="00D8650C">
            <w:pPr>
              <w:spacing w:after="0" w:line="240" w:lineRule="auto"/>
              <w:jc w:val="center"/>
              <w:rPr>
                <w:rFonts w:ascii="Calibri" w:eastAsia="Times New Roman" w:hAnsi="Calibri" w:cs="Calibri"/>
                <w:color w:val="000000"/>
                <w:sz w:val="18"/>
                <w:szCs w:val="18"/>
                <w:lang w:eastAsia="en-GB"/>
              </w:rPr>
            </w:pPr>
            <w:r w:rsidRPr="00D8650C">
              <w:rPr>
                <w:rFonts w:ascii="Calibri" w:eastAsia="Times New Roman" w:hAnsi="Calibri" w:cs="Calibri"/>
                <w:color w:val="000000"/>
                <w:sz w:val="18"/>
                <w:szCs w:val="18"/>
                <w:lang w:eastAsia="en-GB"/>
              </w:rPr>
              <w:t>(Lower)</w:t>
            </w:r>
          </w:p>
        </w:tc>
        <w:tc>
          <w:tcPr>
            <w:tcW w:w="872" w:type="dxa"/>
            <w:tcBorders>
              <w:top w:val="nil"/>
              <w:left w:val="nil"/>
              <w:bottom w:val="single" w:sz="4" w:space="0" w:color="auto"/>
              <w:right w:val="nil"/>
            </w:tcBorders>
            <w:shd w:val="clear" w:color="auto" w:fill="auto"/>
            <w:noWrap/>
            <w:vAlign w:val="bottom"/>
            <w:hideMark/>
          </w:tcPr>
          <w:p w14:paraId="10266160" w14:textId="77777777" w:rsidR="00D8650C" w:rsidRPr="00D8650C" w:rsidRDefault="00D8650C" w:rsidP="00D8650C">
            <w:pPr>
              <w:spacing w:after="0" w:line="240" w:lineRule="auto"/>
              <w:jc w:val="center"/>
              <w:rPr>
                <w:rFonts w:ascii="Calibri" w:eastAsia="Times New Roman" w:hAnsi="Calibri" w:cs="Calibri"/>
                <w:color w:val="000000"/>
                <w:sz w:val="18"/>
                <w:szCs w:val="18"/>
                <w:lang w:eastAsia="en-GB"/>
              </w:rPr>
            </w:pPr>
            <w:r w:rsidRPr="00D8650C">
              <w:rPr>
                <w:rFonts w:ascii="Calibri" w:eastAsia="Times New Roman" w:hAnsi="Calibri" w:cs="Calibri"/>
                <w:color w:val="000000"/>
                <w:sz w:val="18"/>
                <w:szCs w:val="18"/>
                <w:lang w:eastAsia="en-GB"/>
              </w:rPr>
              <w:t>(Lower)</w:t>
            </w:r>
          </w:p>
        </w:tc>
      </w:tr>
      <w:tr w:rsidR="00D8650C" w:rsidRPr="00D8650C" w14:paraId="52D333F0" w14:textId="77777777" w:rsidTr="00D8650C">
        <w:trPr>
          <w:trHeight w:val="251"/>
        </w:trPr>
        <w:tc>
          <w:tcPr>
            <w:tcW w:w="4111" w:type="dxa"/>
            <w:vMerge w:val="restart"/>
            <w:tcBorders>
              <w:top w:val="nil"/>
              <w:left w:val="nil"/>
              <w:bottom w:val="single" w:sz="4" w:space="0" w:color="000000"/>
              <w:right w:val="nil"/>
            </w:tcBorders>
            <w:shd w:val="clear" w:color="auto" w:fill="auto"/>
            <w:vAlign w:val="center"/>
            <w:hideMark/>
          </w:tcPr>
          <w:p w14:paraId="5A34098A" w14:textId="77777777" w:rsidR="00D8650C" w:rsidRPr="00D8650C" w:rsidRDefault="00D8650C" w:rsidP="00D8650C">
            <w:pPr>
              <w:spacing w:after="0" w:line="240" w:lineRule="auto"/>
              <w:ind w:firstLineChars="200" w:firstLine="440"/>
              <w:rPr>
                <w:rFonts w:ascii="Calibri" w:eastAsia="Times New Roman" w:hAnsi="Calibri" w:cs="Calibri"/>
                <w:color w:val="000000"/>
                <w:lang w:eastAsia="en-GB"/>
              </w:rPr>
            </w:pPr>
            <w:r w:rsidRPr="00D8650C">
              <w:rPr>
                <w:rFonts w:ascii="Calibri" w:eastAsia="Times New Roman" w:hAnsi="Calibri" w:cs="Calibri"/>
                <w:color w:val="000000"/>
                <w:lang w:eastAsia="en-GB"/>
              </w:rPr>
              <w:t>Median Gap</w:t>
            </w:r>
          </w:p>
        </w:tc>
        <w:tc>
          <w:tcPr>
            <w:tcW w:w="1276" w:type="dxa"/>
            <w:tcBorders>
              <w:top w:val="nil"/>
              <w:left w:val="nil"/>
              <w:bottom w:val="nil"/>
              <w:right w:val="nil"/>
            </w:tcBorders>
            <w:shd w:val="clear" w:color="auto" w:fill="auto"/>
            <w:noWrap/>
            <w:vAlign w:val="bottom"/>
            <w:hideMark/>
          </w:tcPr>
          <w:p w14:paraId="195EE999" w14:textId="77777777" w:rsidR="00D8650C" w:rsidRPr="00D8650C" w:rsidRDefault="00E46EA0" w:rsidP="00D865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r w:rsidR="00D8650C" w:rsidRPr="00D8650C">
              <w:rPr>
                <w:rFonts w:ascii="Calibri" w:eastAsia="Times New Roman" w:hAnsi="Calibri" w:cs="Calibri"/>
                <w:color w:val="000000"/>
                <w:lang w:eastAsia="en-GB"/>
              </w:rPr>
              <w:t>%</w:t>
            </w:r>
          </w:p>
        </w:tc>
        <w:tc>
          <w:tcPr>
            <w:tcW w:w="1417" w:type="dxa"/>
            <w:tcBorders>
              <w:top w:val="nil"/>
              <w:left w:val="nil"/>
              <w:bottom w:val="nil"/>
              <w:right w:val="nil"/>
            </w:tcBorders>
            <w:shd w:val="clear" w:color="auto" w:fill="auto"/>
            <w:noWrap/>
            <w:vAlign w:val="bottom"/>
            <w:hideMark/>
          </w:tcPr>
          <w:p w14:paraId="69344CB9" w14:textId="77777777" w:rsidR="00D8650C" w:rsidRPr="00D8650C" w:rsidRDefault="00E46EA0" w:rsidP="00D865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00D8650C" w:rsidRPr="00D8650C">
              <w:rPr>
                <w:rFonts w:ascii="Calibri" w:eastAsia="Times New Roman" w:hAnsi="Calibri" w:cs="Calibri"/>
                <w:color w:val="000000"/>
                <w:lang w:eastAsia="en-GB"/>
              </w:rPr>
              <w:t>%</w:t>
            </w:r>
          </w:p>
        </w:tc>
        <w:tc>
          <w:tcPr>
            <w:tcW w:w="1316" w:type="dxa"/>
            <w:tcBorders>
              <w:top w:val="nil"/>
              <w:left w:val="nil"/>
              <w:bottom w:val="nil"/>
              <w:right w:val="nil"/>
            </w:tcBorders>
            <w:shd w:val="clear" w:color="auto" w:fill="auto"/>
            <w:noWrap/>
            <w:vAlign w:val="bottom"/>
            <w:hideMark/>
          </w:tcPr>
          <w:p w14:paraId="1670539D" w14:textId="77777777" w:rsidR="00D8650C" w:rsidRPr="00D8650C" w:rsidRDefault="00D8650C" w:rsidP="00D8650C">
            <w:pPr>
              <w:spacing w:after="0" w:line="240" w:lineRule="auto"/>
              <w:jc w:val="center"/>
              <w:rPr>
                <w:rFonts w:ascii="Calibri" w:eastAsia="Times New Roman" w:hAnsi="Calibri" w:cs="Calibri"/>
                <w:color w:val="000000"/>
                <w:lang w:eastAsia="en-GB"/>
              </w:rPr>
            </w:pPr>
            <w:r w:rsidRPr="00D8650C">
              <w:rPr>
                <w:rFonts w:ascii="Calibri" w:eastAsia="Times New Roman" w:hAnsi="Calibri" w:cs="Calibri"/>
                <w:color w:val="000000"/>
                <w:lang w:eastAsia="en-GB"/>
              </w:rPr>
              <w:t>1%</w:t>
            </w:r>
          </w:p>
        </w:tc>
        <w:tc>
          <w:tcPr>
            <w:tcW w:w="872" w:type="dxa"/>
            <w:tcBorders>
              <w:top w:val="nil"/>
              <w:left w:val="nil"/>
              <w:bottom w:val="nil"/>
              <w:right w:val="nil"/>
            </w:tcBorders>
            <w:shd w:val="clear" w:color="auto" w:fill="auto"/>
            <w:noWrap/>
            <w:vAlign w:val="bottom"/>
            <w:hideMark/>
          </w:tcPr>
          <w:p w14:paraId="6E4471EB" w14:textId="77777777" w:rsidR="00D8650C" w:rsidRPr="00D8650C" w:rsidRDefault="00E46EA0" w:rsidP="00D865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r w:rsidR="00D8650C" w:rsidRPr="00D8650C">
              <w:rPr>
                <w:rFonts w:ascii="Calibri" w:eastAsia="Times New Roman" w:hAnsi="Calibri" w:cs="Calibri"/>
                <w:color w:val="000000"/>
                <w:lang w:eastAsia="en-GB"/>
              </w:rPr>
              <w:t>%</w:t>
            </w:r>
          </w:p>
        </w:tc>
      </w:tr>
      <w:tr w:rsidR="00D8650C" w:rsidRPr="00D8650C" w14:paraId="3AF88AF6" w14:textId="77777777" w:rsidTr="00D8650C">
        <w:trPr>
          <w:trHeight w:val="251"/>
        </w:trPr>
        <w:tc>
          <w:tcPr>
            <w:tcW w:w="4111" w:type="dxa"/>
            <w:vMerge/>
            <w:tcBorders>
              <w:top w:val="nil"/>
              <w:left w:val="nil"/>
              <w:bottom w:val="single" w:sz="4" w:space="0" w:color="000000"/>
              <w:right w:val="nil"/>
            </w:tcBorders>
            <w:vAlign w:val="center"/>
            <w:hideMark/>
          </w:tcPr>
          <w:p w14:paraId="0B7C69DD" w14:textId="77777777" w:rsidR="00D8650C" w:rsidRPr="00D8650C" w:rsidRDefault="00D8650C" w:rsidP="00D8650C">
            <w:pPr>
              <w:spacing w:after="0" w:line="240" w:lineRule="auto"/>
              <w:rPr>
                <w:rFonts w:ascii="Calibri" w:eastAsia="Times New Roman" w:hAnsi="Calibri" w:cs="Calibri"/>
                <w:color w:val="000000"/>
                <w:lang w:eastAsia="en-GB"/>
              </w:rPr>
            </w:pPr>
          </w:p>
        </w:tc>
        <w:tc>
          <w:tcPr>
            <w:tcW w:w="1276" w:type="dxa"/>
            <w:tcBorders>
              <w:top w:val="nil"/>
              <w:left w:val="nil"/>
              <w:bottom w:val="single" w:sz="4" w:space="0" w:color="auto"/>
              <w:right w:val="nil"/>
            </w:tcBorders>
            <w:shd w:val="clear" w:color="auto" w:fill="auto"/>
            <w:noWrap/>
            <w:vAlign w:val="bottom"/>
            <w:hideMark/>
          </w:tcPr>
          <w:p w14:paraId="3EF5F770" w14:textId="77777777" w:rsidR="00D8650C" w:rsidRPr="00D8650C" w:rsidRDefault="00D8650C" w:rsidP="00D8650C">
            <w:pPr>
              <w:spacing w:after="0" w:line="240" w:lineRule="auto"/>
              <w:jc w:val="center"/>
              <w:rPr>
                <w:rFonts w:ascii="Calibri" w:eastAsia="Times New Roman" w:hAnsi="Calibri" w:cs="Calibri"/>
                <w:color w:val="000000"/>
                <w:sz w:val="18"/>
                <w:szCs w:val="18"/>
                <w:lang w:eastAsia="en-GB"/>
              </w:rPr>
            </w:pPr>
            <w:r w:rsidRPr="00D8650C">
              <w:rPr>
                <w:rFonts w:ascii="Calibri" w:eastAsia="Times New Roman" w:hAnsi="Calibri" w:cs="Calibri"/>
                <w:color w:val="000000"/>
                <w:sz w:val="18"/>
                <w:szCs w:val="18"/>
                <w:lang w:eastAsia="en-GB"/>
              </w:rPr>
              <w:t>(Lower)</w:t>
            </w:r>
          </w:p>
        </w:tc>
        <w:tc>
          <w:tcPr>
            <w:tcW w:w="1417" w:type="dxa"/>
            <w:tcBorders>
              <w:top w:val="nil"/>
              <w:left w:val="nil"/>
              <w:bottom w:val="single" w:sz="4" w:space="0" w:color="auto"/>
              <w:right w:val="nil"/>
            </w:tcBorders>
            <w:shd w:val="clear" w:color="auto" w:fill="auto"/>
            <w:noWrap/>
            <w:vAlign w:val="bottom"/>
            <w:hideMark/>
          </w:tcPr>
          <w:p w14:paraId="7D224758" w14:textId="77777777" w:rsidR="00D8650C" w:rsidRPr="00D8650C" w:rsidRDefault="00D8650C" w:rsidP="00D8650C">
            <w:pPr>
              <w:spacing w:after="0" w:line="240" w:lineRule="auto"/>
              <w:jc w:val="center"/>
              <w:rPr>
                <w:rFonts w:ascii="Calibri" w:eastAsia="Times New Roman" w:hAnsi="Calibri" w:cs="Calibri"/>
                <w:color w:val="000000"/>
                <w:sz w:val="18"/>
                <w:szCs w:val="18"/>
                <w:lang w:eastAsia="en-GB"/>
              </w:rPr>
            </w:pPr>
            <w:r w:rsidRPr="00D8650C">
              <w:rPr>
                <w:rFonts w:ascii="Calibri" w:eastAsia="Times New Roman" w:hAnsi="Calibri" w:cs="Calibri"/>
                <w:color w:val="000000"/>
                <w:sz w:val="18"/>
                <w:szCs w:val="18"/>
                <w:lang w:eastAsia="en-GB"/>
              </w:rPr>
              <w:t>(Higher)</w:t>
            </w:r>
          </w:p>
        </w:tc>
        <w:tc>
          <w:tcPr>
            <w:tcW w:w="1316" w:type="dxa"/>
            <w:tcBorders>
              <w:top w:val="nil"/>
              <w:left w:val="nil"/>
              <w:bottom w:val="single" w:sz="4" w:space="0" w:color="auto"/>
              <w:right w:val="nil"/>
            </w:tcBorders>
            <w:shd w:val="clear" w:color="auto" w:fill="auto"/>
            <w:noWrap/>
            <w:vAlign w:val="bottom"/>
            <w:hideMark/>
          </w:tcPr>
          <w:p w14:paraId="2717FBFF" w14:textId="77777777" w:rsidR="00D8650C" w:rsidRPr="00D8650C" w:rsidRDefault="00D8650C" w:rsidP="00D8650C">
            <w:pPr>
              <w:spacing w:after="0" w:line="240" w:lineRule="auto"/>
              <w:jc w:val="center"/>
              <w:rPr>
                <w:rFonts w:ascii="Calibri" w:eastAsia="Times New Roman" w:hAnsi="Calibri" w:cs="Calibri"/>
                <w:color w:val="000000"/>
                <w:sz w:val="18"/>
                <w:szCs w:val="18"/>
                <w:lang w:eastAsia="en-GB"/>
              </w:rPr>
            </w:pPr>
            <w:r w:rsidRPr="00D8650C">
              <w:rPr>
                <w:rFonts w:ascii="Calibri" w:eastAsia="Times New Roman" w:hAnsi="Calibri" w:cs="Calibri"/>
                <w:color w:val="000000"/>
                <w:sz w:val="18"/>
                <w:szCs w:val="18"/>
                <w:lang w:eastAsia="en-GB"/>
              </w:rPr>
              <w:t>(Lower)</w:t>
            </w:r>
          </w:p>
        </w:tc>
        <w:tc>
          <w:tcPr>
            <w:tcW w:w="872" w:type="dxa"/>
            <w:tcBorders>
              <w:top w:val="nil"/>
              <w:left w:val="nil"/>
              <w:bottom w:val="single" w:sz="4" w:space="0" w:color="auto"/>
              <w:right w:val="nil"/>
            </w:tcBorders>
            <w:shd w:val="clear" w:color="auto" w:fill="auto"/>
            <w:noWrap/>
            <w:vAlign w:val="bottom"/>
            <w:hideMark/>
          </w:tcPr>
          <w:p w14:paraId="5E2B3762" w14:textId="77777777" w:rsidR="00D8650C" w:rsidRPr="00D8650C" w:rsidRDefault="00D8650C" w:rsidP="00D8650C">
            <w:pPr>
              <w:spacing w:after="0" w:line="240" w:lineRule="auto"/>
              <w:jc w:val="center"/>
              <w:rPr>
                <w:rFonts w:ascii="Calibri" w:eastAsia="Times New Roman" w:hAnsi="Calibri" w:cs="Calibri"/>
                <w:color w:val="000000"/>
                <w:sz w:val="18"/>
                <w:szCs w:val="18"/>
                <w:lang w:eastAsia="en-GB"/>
              </w:rPr>
            </w:pPr>
            <w:r w:rsidRPr="00D8650C">
              <w:rPr>
                <w:rFonts w:ascii="Calibri" w:eastAsia="Times New Roman" w:hAnsi="Calibri" w:cs="Calibri"/>
                <w:color w:val="000000"/>
                <w:sz w:val="18"/>
                <w:szCs w:val="18"/>
                <w:lang w:eastAsia="en-GB"/>
              </w:rPr>
              <w:t>(Lower)</w:t>
            </w:r>
          </w:p>
        </w:tc>
      </w:tr>
    </w:tbl>
    <w:p w14:paraId="6BF7C978" w14:textId="77777777" w:rsidR="00C022DD" w:rsidRDefault="00C022DD" w:rsidP="00A525B2">
      <w:pPr>
        <w:tabs>
          <w:tab w:val="center" w:pos="4513"/>
        </w:tabs>
        <w:jc w:val="both"/>
      </w:pPr>
    </w:p>
    <w:p w14:paraId="1BF8F316" w14:textId="77777777" w:rsidR="00B76C84" w:rsidRDefault="00B86144" w:rsidP="00A525B2">
      <w:pPr>
        <w:tabs>
          <w:tab w:val="center" w:pos="4513"/>
        </w:tabs>
        <w:jc w:val="both"/>
      </w:pPr>
      <w:r w:rsidRPr="00A0172B">
        <w:t>The number of males in comparatively higher earning roles</w:t>
      </w:r>
      <w:r w:rsidR="00D8650C" w:rsidRPr="00A0172B">
        <w:t xml:space="preserve"> </w:t>
      </w:r>
      <w:r w:rsidRPr="00A0172B">
        <w:t>-</w:t>
      </w:r>
      <w:r w:rsidR="00D8650C" w:rsidRPr="00A0172B">
        <w:t xml:space="preserve"> </w:t>
      </w:r>
      <w:r w:rsidRPr="00A0172B">
        <w:t>u</w:t>
      </w:r>
      <w:r w:rsidR="005C0D09" w:rsidRPr="00A0172B">
        <w:t>p</w:t>
      </w:r>
      <w:r w:rsidRPr="00A0172B">
        <w:t>per quartile (4</w:t>
      </w:r>
      <w:r w:rsidR="00A0172B" w:rsidRPr="00A0172B">
        <w:t>2</w:t>
      </w:r>
      <w:r w:rsidRPr="00A0172B">
        <w:t>%) versus females (22%) is driving an increase in the overall gender pay gap.</w:t>
      </w:r>
      <w:r w:rsidR="00B94787">
        <w:t xml:space="preserve"> </w:t>
      </w:r>
    </w:p>
    <w:p w14:paraId="38925B73" w14:textId="77777777" w:rsidR="00A525B2" w:rsidRDefault="007833D0" w:rsidP="00A525B2">
      <w:pPr>
        <w:tabs>
          <w:tab w:val="center" w:pos="4513"/>
        </w:tabs>
        <w:jc w:val="both"/>
      </w:pPr>
      <w:r>
        <w:t>We have existing measures that are of benefit to a reduction in the gender pay gap: flexible working arrangements, childcare vouchers, learning and development (fa</w:t>
      </w:r>
      <w:r w:rsidR="0001679C">
        <w:t>ce to face and online training) and</w:t>
      </w:r>
      <w:r>
        <w:t xml:space="preserve"> family leave which we will continue reviewing to make sure we can utilise them further to this end.  </w:t>
      </w:r>
    </w:p>
    <w:p w14:paraId="61CB170D" w14:textId="77777777" w:rsidR="00A525B2" w:rsidRPr="00E46EA0" w:rsidRDefault="00A525B2" w:rsidP="00A525B2">
      <w:pPr>
        <w:tabs>
          <w:tab w:val="center" w:pos="4513"/>
        </w:tabs>
        <w:jc w:val="both"/>
      </w:pPr>
      <w:r>
        <w:t xml:space="preserve"> </w:t>
      </w:r>
      <w:r w:rsidR="00AC6DDA" w:rsidRPr="00E177C9">
        <w:rPr>
          <w:b/>
        </w:rPr>
        <w:t>Summary</w:t>
      </w:r>
      <w:r w:rsidR="00A729F4" w:rsidRPr="00E177C9">
        <w:rPr>
          <w:b/>
        </w:rPr>
        <w:t xml:space="preserve"> &amp; actions</w:t>
      </w:r>
    </w:p>
    <w:p w14:paraId="47404A7A" w14:textId="77777777" w:rsidR="00E73457" w:rsidRDefault="00AC6DDA" w:rsidP="00A525B2">
      <w:pPr>
        <w:tabs>
          <w:tab w:val="center" w:pos="4513"/>
        </w:tabs>
        <w:jc w:val="both"/>
      </w:pPr>
      <w:r>
        <w:t>From the figures reported</w:t>
      </w:r>
      <w:r w:rsidR="00E177C9">
        <w:t xml:space="preserve"> above</w:t>
      </w:r>
      <w:r>
        <w:t>, there is a minimal change, however the Company is committed to reducing the gender pay gap by reporting on the areas where the gender pay differenc</w:t>
      </w:r>
      <w:r w:rsidR="00E177C9">
        <w:t>e is at the highest percentage (upper quartile).</w:t>
      </w:r>
    </w:p>
    <w:p w14:paraId="087614B9" w14:textId="77777777" w:rsidR="00225CE7" w:rsidRDefault="00225CE7" w:rsidP="00A525B2">
      <w:pPr>
        <w:tabs>
          <w:tab w:val="center" w:pos="4513"/>
        </w:tabs>
        <w:jc w:val="both"/>
      </w:pPr>
      <w:r>
        <w:lastRenderedPageBreak/>
        <w:t>Managers will be responsible for carrying out a full audit within their areas and an objective view will be taken when reviewing salaries each year.</w:t>
      </w:r>
    </w:p>
    <w:p w14:paraId="3505ADFD" w14:textId="77777777" w:rsidR="00A525B2" w:rsidRDefault="00A729F4" w:rsidP="0001679C">
      <w:pPr>
        <w:tabs>
          <w:tab w:val="center" w:pos="4513"/>
        </w:tabs>
        <w:jc w:val="both"/>
      </w:pPr>
      <w:r>
        <w:t>The above will be implemented and kept alive within Hays Travel by discussions within board meetings, management meetings and regular internal communications, t</w:t>
      </w:r>
      <w:r w:rsidR="00E73457">
        <w:t xml:space="preserve">his </w:t>
      </w:r>
      <w:r w:rsidR="00AC6DDA">
        <w:t xml:space="preserve">in turn </w:t>
      </w:r>
      <w:r w:rsidR="00E73457">
        <w:t xml:space="preserve">should </w:t>
      </w:r>
      <w:r w:rsidR="00AC6DDA">
        <w:t xml:space="preserve">decrease the </w:t>
      </w:r>
      <w:r w:rsidR="00E73457">
        <w:t xml:space="preserve">gender pay </w:t>
      </w:r>
      <w:r w:rsidR="00AC6DDA">
        <w:t xml:space="preserve">gap </w:t>
      </w:r>
      <w:r w:rsidR="00E73457">
        <w:t xml:space="preserve">for </w:t>
      </w:r>
      <w:r w:rsidR="00AC6DDA">
        <w:t>future</w:t>
      </w:r>
      <w:r w:rsidR="00E177C9">
        <w:t xml:space="preserve"> reporting.</w:t>
      </w:r>
    </w:p>
    <w:sectPr w:rsidR="00A525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3612" w14:textId="77777777" w:rsidR="00183CE5" w:rsidRDefault="00183CE5" w:rsidP="0021375F">
      <w:pPr>
        <w:spacing w:after="0" w:line="240" w:lineRule="auto"/>
      </w:pPr>
      <w:r>
        <w:separator/>
      </w:r>
    </w:p>
  </w:endnote>
  <w:endnote w:type="continuationSeparator" w:id="0">
    <w:p w14:paraId="3331004A" w14:textId="77777777" w:rsidR="00183CE5" w:rsidRDefault="00183CE5" w:rsidP="0021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62552"/>
      <w:docPartObj>
        <w:docPartGallery w:val="Page Numbers (Bottom of Page)"/>
        <w:docPartUnique/>
      </w:docPartObj>
    </w:sdtPr>
    <w:sdtEndPr>
      <w:rPr>
        <w:noProof/>
      </w:rPr>
    </w:sdtEndPr>
    <w:sdtContent>
      <w:p w14:paraId="5EB19DDA" w14:textId="77777777" w:rsidR="0021375F" w:rsidRDefault="0021375F">
        <w:pPr>
          <w:pStyle w:val="Footer"/>
          <w:jc w:val="right"/>
        </w:pPr>
        <w:r>
          <w:fldChar w:fldCharType="begin"/>
        </w:r>
        <w:r>
          <w:instrText xml:space="preserve"> PAGE   \* MERGEFORMAT </w:instrText>
        </w:r>
        <w:r>
          <w:fldChar w:fldCharType="separate"/>
        </w:r>
        <w:r w:rsidR="005C5EB7">
          <w:rPr>
            <w:noProof/>
          </w:rPr>
          <w:t>3</w:t>
        </w:r>
        <w:r>
          <w:rPr>
            <w:noProof/>
          </w:rPr>
          <w:fldChar w:fldCharType="end"/>
        </w:r>
      </w:p>
    </w:sdtContent>
  </w:sdt>
  <w:p w14:paraId="5F019FB7" w14:textId="77777777" w:rsidR="0021375F" w:rsidRDefault="00213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2AE6" w14:textId="77777777" w:rsidR="00183CE5" w:rsidRDefault="00183CE5" w:rsidP="0021375F">
      <w:pPr>
        <w:spacing w:after="0" w:line="240" w:lineRule="auto"/>
      </w:pPr>
      <w:r>
        <w:separator/>
      </w:r>
    </w:p>
  </w:footnote>
  <w:footnote w:type="continuationSeparator" w:id="0">
    <w:p w14:paraId="4585D197" w14:textId="77777777" w:rsidR="00183CE5" w:rsidRDefault="00183CE5" w:rsidP="002137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FD"/>
    <w:rsid w:val="0001679C"/>
    <w:rsid w:val="0007589F"/>
    <w:rsid w:val="000A2A25"/>
    <w:rsid w:val="000C77D8"/>
    <w:rsid w:val="00105549"/>
    <w:rsid w:val="00183CE5"/>
    <w:rsid w:val="0021375F"/>
    <w:rsid w:val="00225CE7"/>
    <w:rsid w:val="002347B3"/>
    <w:rsid w:val="00291974"/>
    <w:rsid w:val="002C0C76"/>
    <w:rsid w:val="00346FA8"/>
    <w:rsid w:val="003839F8"/>
    <w:rsid w:val="00392929"/>
    <w:rsid w:val="003C7CF2"/>
    <w:rsid w:val="0046416E"/>
    <w:rsid w:val="004C6E44"/>
    <w:rsid w:val="00505091"/>
    <w:rsid w:val="00581F75"/>
    <w:rsid w:val="005C0D09"/>
    <w:rsid w:val="005C5EB7"/>
    <w:rsid w:val="005F5BCD"/>
    <w:rsid w:val="0063185F"/>
    <w:rsid w:val="00675122"/>
    <w:rsid w:val="006F60D9"/>
    <w:rsid w:val="007141ED"/>
    <w:rsid w:val="007737A8"/>
    <w:rsid w:val="007833D0"/>
    <w:rsid w:val="007D7D70"/>
    <w:rsid w:val="008955A9"/>
    <w:rsid w:val="008C22BD"/>
    <w:rsid w:val="008D7DB2"/>
    <w:rsid w:val="00973261"/>
    <w:rsid w:val="00977937"/>
    <w:rsid w:val="009C36D8"/>
    <w:rsid w:val="009C751F"/>
    <w:rsid w:val="00A0172B"/>
    <w:rsid w:val="00A0587E"/>
    <w:rsid w:val="00A525B2"/>
    <w:rsid w:val="00A729F4"/>
    <w:rsid w:val="00AC6DDA"/>
    <w:rsid w:val="00AE16C5"/>
    <w:rsid w:val="00AE18D2"/>
    <w:rsid w:val="00B7536F"/>
    <w:rsid w:val="00B76C84"/>
    <w:rsid w:val="00B86144"/>
    <w:rsid w:val="00B94787"/>
    <w:rsid w:val="00BB6523"/>
    <w:rsid w:val="00BE34FD"/>
    <w:rsid w:val="00BF5F12"/>
    <w:rsid w:val="00C022DD"/>
    <w:rsid w:val="00D8650C"/>
    <w:rsid w:val="00DC291A"/>
    <w:rsid w:val="00DC3E17"/>
    <w:rsid w:val="00E177C9"/>
    <w:rsid w:val="00E46EA0"/>
    <w:rsid w:val="00E73457"/>
    <w:rsid w:val="00E77E9C"/>
    <w:rsid w:val="00E8068D"/>
    <w:rsid w:val="00F4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06273"/>
  <w15:chartTrackingRefBased/>
  <w15:docId w15:val="{3F9321FF-098D-4519-A3B0-28A7DA8D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87E"/>
    <w:pPr>
      <w:ind w:left="720"/>
      <w:contextualSpacing/>
    </w:pPr>
  </w:style>
  <w:style w:type="paragraph" w:styleId="Header">
    <w:name w:val="header"/>
    <w:basedOn w:val="Normal"/>
    <w:link w:val="HeaderChar"/>
    <w:uiPriority w:val="99"/>
    <w:unhideWhenUsed/>
    <w:rsid w:val="00213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75F"/>
  </w:style>
  <w:style w:type="paragraph" w:styleId="Footer">
    <w:name w:val="footer"/>
    <w:basedOn w:val="Normal"/>
    <w:link w:val="FooterChar"/>
    <w:uiPriority w:val="99"/>
    <w:unhideWhenUsed/>
    <w:rsid w:val="00213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75F"/>
  </w:style>
  <w:style w:type="paragraph" w:styleId="BalloonText">
    <w:name w:val="Balloon Text"/>
    <w:basedOn w:val="Normal"/>
    <w:link w:val="BalloonTextChar"/>
    <w:uiPriority w:val="99"/>
    <w:semiHidden/>
    <w:unhideWhenUsed/>
    <w:rsid w:val="004C6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720">
      <w:bodyDiv w:val="1"/>
      <w:marLeft w:val="0"/>
      <w:marRight w:val="0"/>
      <w:marTop w:val="0"/>
      <w:marBottom w:val="0"/>
      <w:divBdr>
        <w:top w:val="none" w:sz="0" w:space="0" w:color="auto"/>
        <w:left w:val="none" w:sz="0" w:space="0" w:color="auto"/>
        <w:bottom w:val="none" w:sz="0" w:space="0" w:color="auto"/>
        <w:right w:val="none" w:sz="0" w:space="0" w:color="auto"/>
      </w:divBdr>
    </w:div>
    <w:div w:id="171798681">
      <w:bodyDiv w:val="1"/>
      <w:marLeft w:val="0"/>
      <w:marRight w:val="0"/>
      <w:marTop w:val="0"/>
      <w:marBottom w:val="0"/>
      <w:divBdr>
        <w:top w:val="none" w:sz="0" w:space="0" w:color="auto"/>
        <w:left w:val="none" w:sz="0" w:space="0" w:color="auto"/>
        <w:bottom w:val="none" w:sz="0" w:space="0" w:color="auto"/>
        <w:right w:val="none" w:sz="0" w:space="0" w:color="auto"/>
      </w:divBdr>
    </w:div>
    <w:div w:id="370960638">
      <w:bodyDiv w:val="1"/>
      <w:marLeft w:val="0"/>
      <w:marRight w:val="0"/>
      <w:marTop w:val="0"/>
      <w:marBottom w:val="0"/>
      <w:divBdr>
        <w:top w:val="none" w:sz="0" w:space="0" w:color="auto"/>
        <w:left w:val="none" w:sz="0" w:space="0" w:color="auto"/>
        <w:bottom w:val="none" w:sz="0" w:space="0" w:color="auto"/>
        <w:right w:val="none" w:sz="0" w:space="0" w:color="auto"/>
      </w:divBdr>
    </w:div>
    <w:div w:id="723336871">
      <w:bodyDiv w:val="1"/>
      <w:marLeft w:val="0"/>
      <w:marRight w:val="0"/>
      <w:marTop w:val="0"/>
      <w:marBottom w:val="0"/>
      <w:divBdr>
        <w:top w:val="none" w:sz="0" w:space="0" w:color="auto"/>
        <w:left w:val="none" w:sz="0" w:space="0" w:color="auto"/>
        <w:bottom w:val="none" w:sz="0" w:space="0" w:color="auto"/>
        <w:right w:val="none" w:sz="0" w:space="0" w:color="auto"/>
      </w:divBdr>
    </w:div>
    <w:div w:id="1286548235">
      <w:bodyDiv w:val="1"/>
      <w:marLeft w:val="0"/>
      <w:marRight w:val="0"/>
      <w:marTop w:val="0"/>
      <w:marBottom w:val="0"/>
      <w:divBdr>
        <w:top w:val="none" w:sz="0" w:space="0" w:color="auto"/>
        <w:left w:val="none" w:sz="0" w:space="0" w:color="auto"/>
        <w:bottom w:val="none" w:sz="0" w:space="0" w:color="auto"/>
        <w:right w:val="none" w:sz="0" w:space="0" w:color="auto"/>
      </w:divBdr>
    </w:div>
    <w:div w:id="1381905000">
      <w:bodyDiv w:val="1"/>
      <w:marLeft w:val="0"/>
      <w:marRight w:val="0"/>
      <w:marTop w:val="0"/>
      <w:marBottom w:val="0"/>
      <w:divBdr>
        <w:top w:val="none" w:sz="0" w:space="0" w:color="auto"/>
        <w:left w:val="none" w:sz="0" w:space="0" w:color="auto"/>
        <w:bottom w:val="none" w:sz="0" w:space="0" w:color="auto"/>
        <w:right w:val="none" w:sz="0" w:space="0" w:color="auto"/>
      </w:divBdr>
    </w:div>
    <w:div w:id="1607691965">
      <w:bodyDiv w:val="1"/>
      <w:marLeft w:val="0"/>
      <w:marRight w:val="0"/>
      <w:marTop w:val="0"/>
      <w:marBottom w:val="0"/>
      <w:divBdr>
        <w:top w:val="none" w:sz="0" w:space="0" w:color="auto"/>
        <w:left w:val="none" w:sz="0" w:space="0" w:color="auto"/>
        <w:bottom w:val="none" w:sz="0" w:space="0" w:color="auto"/>
        <w:right w:val="none" w:sz="0" w:space="0" w:color="auto"/>
      </w:divBdr>
    </w:div>
    <w:div w:id="16367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lairemaith\AppData\Local\Microsoft\Windows\INetCache\Content.Outlook\DOKOVP9J\Gender%20Pay%20Gap%20Report%20April%2019%20Claire%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lairemaith\AppData\Local\Microsoft\Windows\INetCache\Content.Outlook\DOKOVP9J\Gender%20Pay%20Gap%20Report%20April%2019%20Claire%20(0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0B0-4305-81F1-4C9139C3929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0B0-4305-81F1-4C9139C3929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Pay Gap Report April 19 Claire (002).xlsx]Report Results Split by Divisio'!$M$42:$N$42</c:f>
              <c:strCache>
                <c:ptCount val="2"/>
                <c:pt idx="0">
                  <c:v>Male</c:v>
                </c:pt>
                <c:pt idx="1">
                  <c:v>Female</c:v>
                </c:pt>
              </c:strCache>
            </c:strRef>
          </c:cat>
          <c:val>
            <c:numRef>
              <c:f>'[Gender Pay Gap Report April 19 Claire (002).xlsx]Report Results Split by Divisio'!$M$43:$N$43</c:f>
              <c:numCache>
                <c:formatCode>0.00%</c:formatCode>
                <c:ptCount val="2"/>
                <c:pt idx="0">
                  <c:v>0.14299999999999999</c:v>
                </c:pt>
                <c:pt idx="1">
                  <c:v>0.85699999999999998</c:v>
                </c:pt>
              </c:numCache>
            </c:numRef>
          </c:val>
          <c:extLst>
            <c:ext xmlns:c16="http://schemas.microsoft.com/office/drawing/2014/chart" uri="{C3380CC4-5D6E-409C-BE32-E72D297353CC}">
              <c16:uniqueId val="{00000004-70B0-4305-81F1-4C9139C3929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In Reception of Bonus 2019</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'[Gender Pay Gap Report April 19 Claire (002).xlsx]Report Results Split by Divisio'!$E$38</c:f>
              <c:strCache>
                <c:ptCount val="1"/>
                <c:pt idx="0">
                  <c:v>In Reception of Bonus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Pt>
            <c:idx val="0"/>
            <c:invertIfNegative val="0"/>
            <c:bubble3D val="0"/>
            <c:spPr>
              <a:solidFill>
                <a:srgbClr val="0070C0"/>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5675-46C4-A519-558B5B89BFA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75-46C4-A519-558B5B89BFA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75-46C4-A519-558B5B89BF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'[Gender Pay Gap Report April 19 Claire (002).xlsx]Report Results Split by Divisio'!$F$37:$G$37</c:f>
              <c:strCache>
                <c:ptCount val="2"/>
                <c:pt idx="0">
                  <c:v>Male</c:v>
                </c:pt>
                <c:pt idx="1">
                  <c:v>Female</c:v>
                </c:pt>
              </c:strCache>
            </c:strRef>
          </c:cat>
          <c:val>
            <c:numRef>
              <c:f>'[Gender Pay Gap Report April 19 Claire (002).xlsx]Report Results Split by Divisio'!$F$38:$G$38</c:f>
              <c:numCache>
                <c:formatCode>0%</c:formatCode>
                <c:ptCount val="2"/>
                <c:pt idx="0">
                  <c:v>0.50970000000000004</c:v>
                </c:pt>
                <c:pt idx="1">
                  <c:v>0.7238</c:v>
                </c:pt>
              </c:numCache>
            </c:numRef>
          </c:val>
          <c:extLst>
            <c:ext xmlns:c16="http://schemas.microsoft.com/office/drawing/2014/chart" uri="{C3380CC4-5D6E-409C-BE32-E72D297353CC}">
              <c16:uniqueId val="{00000003-5675-46C4-A519-558B5B89BFAC}"/>
            </c:ext>
          </c:extLst>
        </c:ser>
        <c:dLbls>
          <c:showLegendKey val="0"/>
          <c:showVal val="0"/>
          <c:showCatName val="0"/>
          <c:showSerName val="0"/>
          <c:showPercent val="0"/>
          <c:showBubbleSize val="0"/>
        </c:dLbls>
        <c:gapWidth val="150"/>
        <c:shape val="box"/>
        <c:axId val="1771851264"/>
        <c:axId val="1771855616"/>
        <c:axId val="0"/>
      </c:bar3DChart>
      <c:catAx>
        <c:axId val="177185126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71855616"/>
        <c:crosses val="autoZero"/>
        <c:auto val="1"/>
        <c:lblAlgn val="ctr"/>
        <c:lblOffset val="100"/>
        <c:noMultiLvlLbl val="0"/>
      </c:catAx>
      <c:valAx>
        <c:axId val="1771855616"/>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177185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Pay Quartiles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1"/>
          <c:order val="1"/>
          <c:tx>
            <c:strRef>
              <c:f>'[Gender Pay Gap Report April 19 Claire (002).xlsx]Report Results Split by Divisio'!$K$23</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Pay Gap Report April 19 Claire (002).xlsx]Report Results Split by Divisio'!$I$24:$I$27</c:f>
              <c:strCache>
                <c:ptCount val="4"/>
                <c:pt idx="0">
                  <c:v>Lower </c:v>
                </c:pt>
                <c:pt idx="1">
                  <c:v>Lower Middle </c:v>
                </c:pt>
                <c:pt idx="2">
                  <c:v>Upper Middle </c:v>
                </c:pt>
                <c:pt idx="3">
                  <c:v>Upper </c:v>
                </c:pt>
              </c:strCache>
            </c:strRef>
          </c:cat>
          <c:val>
            <c:numRef>
              <c:f>'[Gender Pay Gap Report April 19 Claire (002).xlsx]Report Results Split by Divisio'!$K$24:$K$27</c:f>
              <c:numCache>
                <c:formatCode>0.0%</c:formatCode>
                <c:ptCount val="4"/>
                <c:pt idx="0">
                  <c:v>0.89880952380952384</c:v>
                </c:pt>
                <c:pt idx="1">
                  <c:v>0.88724035608308605</c:v>
                </c:pt>
                <c:pt idx="2">
                  <c:v>0.88130563798219586</c:v>
                </c:pt>
                <c:pt idx="3">
                  <c:v>0.7589285714285714</c:v>
                </c:pt>
              </c:numCache>
            </c:numRef>
          </c:val>
          <c:extLst>
            <c:ext xmlns:c16="http://schemas.microsoft.com/office/drawing/2014/chart" uri="{C3380CC4-5D6E-409C-BE32-E72D297353CC}">
              <c16:uniqueId val="{00000000-D118-47DE-874E-4BC5EF616D77}"/>
            </c:ext>
          </c:extLst>
        </c:ser>
        <c:dLbls>
          <c:showLegendKey val="0"/>
          <c:showVal val="1"/>
          <c:showCatName val="0"/>
          <c:showSerName val="0"/>
          <c:showPercent val="0"/>
          <c:showBubbleSize val="0"/>
        </c:dLbls>
        <c:gapWidth val="219"/>
        <c:overlap val="100"/>
        <c:axId val="1771850720"/>
        <c:axId val="1771848544"/>
      </c:barChart>
      <c:barChart>
        <c:barDir val="bar"/>
        <c:grouping val="stacked"/>
        <c:varyColors val="0"/>
        <c:ser>
          <c:idx val="0"/>
          <c:order val="0"/>
          <c:tx>
            <c:strRef>
              <c:f>'[Gender Pay Gap Report April 19 Claire (002).xlsx]Report Results Split by Divisio'!$J$23</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Pay Gap Report April 19 Claire (002).xlsx]Report Results Split by Divisio'!$I$24:$I$27</c:f>
              <c:strCache>
                <c:ptCount val="4"/>
                <c:pt idx="0">
                  <c:v>Lower </c:v>
                </c:pt>
                <c:pt idx="1">
                  <c:v>Lower Middle </c:v>
                </c:pt>
                <c:pt idx="2">
                  <c:v>Upper Middle </c:v>
                </c:pt>
                <c:pt idx="3">
                  <c:v>Upper </c:v>
                </c:pt>
              </c:strCache>
            </c:strRef>
          </c:cat>
          <c:val>
            <c:numRef>
              <c:f>'[Gender Pay Gap Report April 19 Claire (002).xlsx]Report Results Split by Divisio'!$J$24:$J$27</c:f>
              <c:numCache>
                <c:formatCode>0.0%</c:formatCode>
                <c:ptCount val="4"/>
                <c:pt idx="0">
                  <c:v>0.10119047619047619</c:v>
                </c:pt>
                <c:pt idx="1">
                  <c:v>0.11275964391691394</c:v>
                </c:pt>
                <c:pt idx="2">
                  <c:v>0.11869436201780416</c:v>
                </c:pt>
                <c:pt idx="3">
                  <c:v>0.24107142857142858</c:v>
                </c:pt>
              </c:numCache>
            </c:numRef>
          </c:val>
          <c:extLst>
            <c:ext xmlns:c16="http://schemas.microsoft.com/office/drawing/2014/chart" uri="{C3380CC4-5D6E-409C-BE32-E72D297353CC}">
              <c16:uniqueId val="{00000001-D118-47DE-874E-4BC5EF616D77}"/>
            </c:ext>
          </c:extLst>
        </c:ser>
        <c:dLbls>
          <c:showLegendKey val="0"/>
          <c:showVal val="1"/>
          <c:showCatName val="0"/>
          <c:showSerName val="0"/>
          <c:showPercent val="0"/>
          <c:showBubbleSize val="0"/>
        </c:dLbls>
        <c:gapWidth val="219"/>
        <c:overlap val="100"/>
        <c:axId val="1771854528"/>
        <c:axId val="1771853984"/>
      </c:barChart>
      <c:catAx>
        <c:axId val="1771850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848544"/>
        <c:crosses val="autoZero"/>
        <c:auto val="1"/>
        <c:lblAlgn val="ctr"/>
        <c:lblOffset val="100"/>
        <c:noMultiLvlLbl val="0"/>
      </c:catAx>
      <c:valAx>
        <c:axId val="17718485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850720"/>
        <c:crosses val="autoZero"/>
        <c:crossBetween val="between"/>
      </c:valAx>
      <c:valAx>
        <c:axId val="1771853984"/>
        <c:scaling>
          <c:orientation val="minMax"/>
        </c:scaling>
        <c:delete val="1"/>
        <c:axPos val="t"/>
        <c:numFmt formatCode="0.0%" sourceLinked="1"/>
        <c:majorTickMark val="out"/>
        <c:minorTickMark val="none"/>
        <c:tickLblPos val="nextTo"/>
        <c:crossAx val="1771854528"/>
        <c:crosses val="max"/>
        <c:crossBetween val="between"/>
      </c:valAx>
      <c:catAx>
        <c:axId val="1771854528"/>
        <c:scaling>
          <c:orientation val="minMax"/>
        </c:scaling>
        <c:delete val="1"/>
        <c:axPos val="l"/>
        <c:numFmt formatCode="General" sourceLinked="1"/>
        <c:majorTickMark val="out"/>
        <c:minorTickMark val="none"/>
        <c:tickLblPos val="nextTo"/>
        <c:crossAx val="17718539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11612</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FernandezVarona</dc:creator>
  <cp:keywords/>
  <dc:description/>
  <cp:lastModifiedBy>Becky Robson</cp:lastModifiedBy>
  <cp:revision>9</cp:revision>
  <cp:lastPrinted>2020-07-15T07:54:00Z</cp:lastPrinted>
  <dcterms:created xsi:type="dcterms:W3CDTF">2020-06-26T11:49:00Z</dcterms:created>
  <dcterms:modified xsi:type="dcterms:W3CDTF">2021-10-07T10:46:00Z</dcterms:modified>
</cp:coreProperties>
</file>